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72" w:type="dxa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2"/>
      </w:tblGrid>
      <w:tr>
        <w:trPr>
          <w:trHeight w:val="3969" w:hRule="atLeast"/>
        </w:trPr>
        <w:tc>
          <w:tcPr>
            <w:tcW w:w="11172" w:type="dxa"/>
            <w:tcBorders/>
          </w:tcPr>
          <w:p>
            <w:pPr>
              <w:pStyle w:val="Style20"/>
              <w:widowControl w:val="false"/>
              <w:suppressLineNumbers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bCs/>
                <w:color w:val="FF4000"/>
                <w:sz w:val="32"/>
                <w:szCs w:val="32"/>
              </w:rPr>
              <w:t>1.</w:t>
            </w:r>
            <w:r>
              <w:rPr>
                <w:rFonts w:ascii="標楷體" w:hAnsi="標楷體" w:eastAsia="標楷體"/>
                <w:b/>
                <w:bCs/>
                <w:color w:val="FF4000"/>
                <w:sz w:val="32"/>
                <w:szCs w:val="32"/>
              </w:rPr>
              <w:t>場所</w:t>
            </w:r>
            <w:r>
              <w:rPr>
                <w:rFonts w:eastAsia="標楷體" w:ascii="標楷體" w:hAnsi="標楷體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  <w:t>鍋爐房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bCs/>
                <w:color w:val="FF4000"/>
                <w:sz w:val="32"/>
                <w:szCs w:val="32"/>
              </w:rPr>
              <w:t>2.</w:t>
            </w:r>
            <w:r>
              <w:rPr>
                <w:rFonts w:ascii="標楷體" w:hAnsi="標楷體" w:eastAsia="標楷體"/>
                <w:b/>
                <w:bCs/>
                <w:color w:val="FF4000"/>
                <w:sz w:val="32"/>
                <w:szCs w:val="32"/>
              </w:rPr>
              <w:t>燃料</w:t>
            </w:r>
            <w:r>
              <w:rPr>
                <w:rFonts w:eastAsia="標楷體" w:ascii="標楷體" w:hAnsi="標楷體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  <w:t>液化石油氣</w:t>
            </w:r>
            <w:r>
              <w:rPr>
                <w:rFonts w:eastAsia="標楷體" w:ascii="標楷體" w:hAnsi="標楷體"/>
                <w:b/>
                <w:bCs/>
                <w:color w:val="000000"/>
                <w:sz w:val="32"/>
                <w:szCs w:val="32"/>
              </w:rPr>
              <w:t>LPG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bCs/>
                <w:color w:val="FF4000"/>
                <w:sz w:val="32"/>
                <w:szCs w:val="32"/>
              </w:rPr>
              <w:t>3.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物品危害分類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：易燃氣體第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 xml:space="preserve">1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級、加壓氣體</w:t>
            </w:r>
            <w:r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>
            <w:pPr>
              <w:pStyle w:val="Style20"/>
              <w:widowControl w:val="false"/>
              <w:bidi w:val="0"/>
              <w:jc w:val="left"/>
              <w:rPr/>
            </w:pPr>
            <w:r>
              <w:rPr>
                <w:rFonts w:eastAsia="標楷體" w:ascii="標楷體" w:hAnsi="標楷體"/>
                <w:b/>
                <w:bCs/>
                <w:color w:val="FF4000"/>
                <w:sz w:val="32"/>
                <w:szCs w:val="32"/>
              </w:rPr>
              <w:t>4.</w:t>
            </w:r>
            <w:r>
              <w:rPr>
                <w:rStyle w:val="Strong"/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急救措施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標楷體" w:hAnsi="標楷體" w:eastAsia="標楷體"/>
                <w:b/>
                <w:bCs/>
                <w:caps w:val="false"/>
                <w:smallCaps w:val="false"/>
                <w:color w:val="000000"/>
                <w:spacing w:val="0"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不同暴露途徑之急救方法：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●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吸入：趕快將中毒者帶離現場，移至安靜涼爽，通風良好的地方，用毛毯使其保持溫暖，如果中毒者呼吸困難，或已沒有呼吸；立刻用口對口人工呼吸法急救或用氧氣救生器等類似儀器供給氧氣，以免導致腦部缺氧，並即送醫急救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●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皮膚接觸：用溫水敷在感染皮膚上（如造成凍傷，不可以熱水清洗），如無溫水則用毛毯或厚衣服包裹，待溫暖後鼓勵他緩緩運動，使血液流通，有任何異樣立即送醫處理。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●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眼睛接觸：立刻用溫水沖洗眼睛十五分鐘以上，同時不斷撐開上下眼皮，可用消毒乾燥紗布輕輕包紮，即刻送至眼科醫生處急救。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●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食入：不適用。最重要症狀及危害效應：液體因揮發性高，直接接觸液體，會引起眼睛和皮膚凍傷。缺氧效應。對急救人員之防護：避免吸入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 xml:space="preserve">LPG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氣體，並注意是否有火災爆炸之虞。對醫師之提示：患者吸入時，可考慮用氧氣輔助呼吸。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Fonts w:eastAsia="標楷體" w:ascii="標楷體" w:hAnsi="標楷體"/>
                <w:b/>
                <w:bCs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5.</w:t>
            </w:r>
            <w:r>
              <w:rPr>
                <w:rStyle w:val="Strong"/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滅火措施』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適用滅火劑：化學乾粉、二氧化碳、噴水、水霧（勿用水柱大量噴灑）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Fonts w:eastAsia="標楷體" w:ascii="標楷體" w:hAnsi="標楷體"/>
                <w:b/>
                <w:bCs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6.</w:t>
            </w:r>
            <w:r>
              <w:rPr>
                <w:rStyle w:val="Strong"/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洩漏處理方法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2A6099"/>
                <w:spacing w:val="0"/>
                <w:sz w:val="32"/>
                <w:szCs w:val="32"/>
              </w:rPr>
              <w:t>個人應注意事項：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1.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污染區尚未完全清理乾淨前，限制非必要人員接近該區。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2.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確定止漏及清理工作是由受過訓練人員負責。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3.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穿戴防護裝備才能進入洩漏區，如設備內為液態， 不可直接接觸洩漏液，可能會導致凍傷。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2A6099"/>
                <w:spacing w:val="0"/>
                <w:sz w:val="32"/>
                <w:szCs w:val="32"/>
              </w:rPr>
              <w:t>環境注意事項：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1.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對該區進行通風換氣，注意機具要用防爆型。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2.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隔絕所有著火源、熱源等發火源。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3.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通知政府安全衛生、環保、消防相關單位。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4.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避免外洩物進入下水道或密閉空間。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2A6099"/>
                <w:spacing w:val="0"/>
                <w:sz w:val="32"/>
                <w:szCs w:val="32"/>
              </w:rPr>
              <w:t>清理方法：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1.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移走所有火源。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2.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封閉汙染區，附近人員撤離。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3.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用水噴灑現場，降低空氣中氣體濃度。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4.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洩漏時救災人員須配戴正壓式全面型自攜式呼吸防護具，其他人員速遠離現場。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5.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災區附近絕對嚴禁煙火。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6.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洩漏區施行有效通風，阻斷洩漏氣體源，注意引爆濃度。</w:t>
            </w:r>
          </w:p>
        </w:tc>
      </w:tr>
    </w:tbl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/>
      </w:r>
    </w:p>
    <w:tbl>
      <w:tblPr>
        <w:tblW w:w="11052" w:type="dxa"/>
        <w:jc w:val="left"/>
        <w:tblInd w:w="3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2"/>
      </w:tblGrid>
      <w:tr>
        <w:trPr>
          <w:trHeight w:val="3969" w:hRule="atLeast"/>
        </w:trPr>
        <w:tc>
          <w:tcPr>
            <w:tcW w:w="11052" w:type="dxa"/>
            <w:tcBorders/>
          </w:tcPr>
          <w:p>
            <w:pPr>
              <w:pStyle w:val="Style20"/>
              <w:widowControl w:val="false"/>
              <w:bidi w:val="0"/>
              <w:jc w:val="left"/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bCs/>
                <w:color w:val="FF4000"/>
                <w:sz w:val="32"/>
                <w:szCs w:val="32"/>
              </w:rPr>
              <w:t>1.</w:t>
            </w:r>
            <w:r>
              <w:rPr>
                <w:rFonts w:ascii="標楷體" w:hAnsi="標楷體" w:eastAsia="標楷體"/>
                <w:b/>
                <w:bCs/>
                <w:color w:val="FF4000"/>
                <w:sz w:val="32"/>
                <w:szCs w:val="32"/>
              </w:rPr>
              <w:t>場所</w:t>
            </w:r>
            <w:r>
              <w:rPr>
                <w:rFonts w:eastAsia="標楷體" w:ascii="標楷體" w:hAnsi="標楷體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  <w:t>鍋爐房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bCs/>
                <w:color w:val="FF4000"/>
                <w:sz w:val="32"/>
                <w:szCs w:val="32"/>
              </w:rPr>
              <w:t>2.</w:t>
            </w:r>
            <w:r>
              <w:rPr>
                <w:rFonts w:ascii="標楷體" w:hAnsi="標楷體" w:eastAsia="標楷體"/>
                <w:b/>
                <w:bCs/>
                <w:color w:val="FF4000"/>
                <w:sz w:val="32"/>
                <w:szCs w:val="32"/>
              </w:rPr>
              <w:t>燃料</w:t>
            </w:r>
            <w:r>
              <w:rPr>
                <w:rFonts w:eastAsia="標楷體" w:ascii="標楷體" w:hAnsi="標楷體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  <w:t>液化石油氣</w:t>
            </w:r>
            <w:r>
              <w:rPr>
                <w:rFonts w:eastAsia="標楷體" w:ascii="標楷體" w:hAnsi="標楷體"/>
                <w:b/>
                <w:bCs/>
                <w:color w:val="000000"/>
                <w:sz w:val="32"/>
                <w:szCs w:val="32"/>
              </w:rPr>
              <w:t>LPG</w:t>
            </w:r>
          </w:p>
          <w:p>
            <w:pPr>
              <w:pStyle w:val="Style20"/>
              <w:widowControl w:val="false"/>
              <w:bidi w:val="0"/>
              <w:jc w:val="left"/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標楷體" w:ascii="標楷體" w:hAnsi="標楷體"/>
                <w:b/>
                <w:bCs/>
                <w:color w:val="FF4000"/>
                <w:sz w:val="32"/>
                <w:szCs w:val="32"/>
              </w:rPr>
              <w:t>3.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物品危害分類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：易燃氣體第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 xml:space="preserve">1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級、加壓氣體</w:t>
            </w:r>
            <w:r>
              <w:rPr>
                <w:rFonts w:ascii="標楷體" w:hAnsi="標楷體" w:eastAsia="標楷體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>
            <w:pPr>
              <w:pStyle w:val="Style20"/>
              <w:widowControl w:val="false"/>
              <w:bidi w:val="0"/>
              <w:jc w:val="left"/>
              <w:rPr/>
            </w:pPr>
            <w:r>
              <w:rPr>
                <w:rFonts w:eastAsia="標楷體" w:ascii="標楷體" w:hAnsi="標楷體"/>
                <w:b/>
                <w:bCs/>
                <w:color w:val="FF4000"/>
                <w:sz w:val="32"/>
                <w:szCs w:val="32"/>
              </w:rPr>
              <w:t>4.</w:t>
            </w:r>
            <w:r>
              <w:rPr>
                <w:rStyle w:val="Strong"/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急救措施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標楷體" w:hAnsi="標楷體" w:eastAsia="標楷體"/>
                <w:b/>
                <w:bCs/>
                <w:caps w:val="false"/>
                <w:smallCaps w:val="false"/>
                <w:color w:val="000000"/>
                <w:spacing w:val="0"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不同暴露途徑之急救方法：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●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吸入：趕快將中毒者帶離現場，移至安靜涼爽，通風良好的地方，用毛毯使其保持溫暖，如果中毒者呼吸困難，或已沒有呼吸；立刻用口對口人工呼吸法急救或用氧氣救生器等類似儀器供給氧氣，以免導致腦部缺氧，並即送醫急救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●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皮膚接觸：用溫水敷在感染皮膚上（如造成凍傷，不可以熱水清洗），如無溫水則用毛毯或厚衣服包裹，待溫暖後鼓勵他緩緩運動，使血液流通，有任何異樣立即送醫處理。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●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眼睛接觸：立刻用溫水沖洗眼睛十五分鐘以上，同時不斷撐開上下眼皮，可用消毒乾燥紗布輕輕包紮，即刻送至眼科醫生處急救。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●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食入：不適用。最重要症狀及危害效應：液體因揮發性高，直接接觸液體，會引起眼睛和皮膚凍傷。缺氧效應。對急救人員之防護：避免吸入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 xml:space="preserve">LPG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氣體，並注意是否有火災爆炸之虞。對醫師之提示：患者吸入時，可考慮用氧氣輔助呼吸。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Fonts w:eastAsia="標楷體" w:ascii="標楷體" w:hAnsi="標楷體"/>
                <w:b/>
                <w:bCs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5.</w:t>
            </w:r>
            <w:r>
              <w:rPr>
                <w:rStyle w:val="Strong"/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滅火措施』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適用滅火劑：化學乾粉、二氧化碳、噴水、水霧（勿用水柱大量噴灑）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Fonts w:eastAsia="標楷體" w:ascii="標楷體" w:hAnsi="標楷體"/>
                <w:b/>
                <w:bCs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6.</w:t>
            </w:r>
            <w:r>
              <w:rPr>
                <w:rStyle w:val="Strong"/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FF4000"/>
                <w:spacing w:val="0"/>
                <w:sz w:val="32"/>
                <w:szCs w:val="32"/>
              </w:rPr>
              <w:t>洩漏處理方法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2A6099"/>
                <w:spacing w:val="0"/>
                <w:sz w:val="32"/>
                <w:szCs w:val="32"/>
              </w:rPr>
              <w:t>個人應注意事項：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1.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污染區尚未完全清理乾淨前，限制非必要人員接近該區。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2.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確定止漏及清理工作是由受過訓練人員負責。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3.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穿戴防護裝備才能進入洩漏區，如設備內為液態， 不可直接接觸洩漏液，可能會導致凍傷。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2A6099"/>
                <w:spacing w:val="0"/>
                <w:sz w:val="32"/>
                <w:szCs w:val="32"/>
              </w:rPr>
              <w:t>環境注意事項：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1.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對該區進行通風換氣，注意機具要用防爆型。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2.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隔絕所有著火源、熱源等發火源。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3.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通知政府安全衛生、環保、消防相關單位。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4.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避免外洩物進入下水道或密閉空間。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2A6099"/>
                <w:spacing w:val="0"/>
                <w:sz w:val="32"/>
                <w:szCs w:val="32"/>
              </w:rPr>
              <w:t>清理方法：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1.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移走所有火源。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2.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封閉汙染區，附近人員撤離。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3.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用水噴灑現場，降低空氣中氣體濃度。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4.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洩漏時救災人員須配戴正壓式全面型自攜式呼吸防護具，其他人員速遠離現場。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5.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災區附近絕對嚴禁煙火。</w:t>
            </w:r>
            <w:r>
              <w:rPr>
                <w:rFonts w:eastAsia="標楷體" w:ascii="標楷體" w:hAnsi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br/>
              <w:t xml:space="preserve">6. </w:t>
            </w:r>
            <w:r>
              <w:rPr>
                <w:rFonts w:ascii="標楷體" w:hAnsi="標楷體" w:eastAsia="標楷體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32"/>
              </w:rPr>
              <w:t>洩漏區施行有效通風，阻斷洩漏氣體源，注意引爆濃度。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" w:right="113" w:gutter="0" w:header="0" w:top="113" w:footer="0" w:bottom="11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kern w:val="2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新細明體" w:cs="Lucida Sans"/>
      <w:color w:val="auto"/>
      <w:kern w:val="2"/>
      <w:sz w:val="24"/>
      <w:szCs w:val="24"/>
      <w:lang w:val="en-US" w:eastAsia="zh-TW" w:bidi="hi-IN"/>
    </w:rPr>
  </w:style>
  <w:style w:type="character" w:styleId="Style14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Style20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LibreOffice/7.5.5.2$Windows_X86_64 LibreOffice_project/ca8fe7424262805f223b9a2334bc7181abbcbf5e</Application>
  <AppVersion>15.0000</AppVersion>
  <Pages>2</Pages>
  <Words>1472</Words>
  <Characters>1518</Characters>
  <CharactersWithSpaces>1594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2023-12-07T22:53:52Z</dcterms:created>
  <dc:creator/>
  <dc:description/>
  <dc:language>zh-TW</dc:language>
  <cp:lastModifiedBy/>
  <dcterms:modified xsi:type="dcterms:W3CDTF">2024-01-02T23:23:53Z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