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本法第二十三條第一項所定職業安全衛生管理計畫，包括下列事項：</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一、工作環境或作業危害之辨識、評估及控制。</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二、機械、設備或器具之管理。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三、危害性化學品之分類、標示、通識及管理。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四、有害作業環境之採樣策略規劃及監測。</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五、危險性工作場所之製程或施工安全評估。</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六、採購管理、承攬管理及變更管理。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七、安全衛生作業標準。</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八、定期檢查、重點檢查、作業檢點及現場巡視。</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九、安全衛生教育訓練。</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十、個人防護具之管理。</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十一、健康檢查、管理及促進。</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十二、安全衛生資訊之蒐集、分享及運用。</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十三、緊急應變措施。</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十四、職業災害、虛驚事故、影響身心健康事件之調查處理及統計分析。</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十五、安全衛生管理紀錄及績效評估措施。</w:t>
      </w:r>
    </w:p>
    <w:p>
      <w:pPr>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十六、其他安全衛生管理措施。</w:t>
      </w:r>
    </w:p>
    <w:p>
      <w:pPr>
        <w:rPr>
          <w:rFonts w:hint="eastAsia" w:ascii="標楷體" w:hAnsi="標楷體" w:eastAsia="標楷體" w:cs="標楷體"/>
          <w:color w:val="C00000"/>
          <w:sz w:val="24"/>
          <w:szCs w:val="24"/>
        </w:rPr>
      </w:pPr>
    </w:p>
    <w:p>
      <w:pPr>
        <w:rPr>
          <w:rFonts w:hint="eastAsia" w:ascii="標楷體" w:hAnsi="標楷體" w:eastAsia="標楷體" w:cs="標楷體"/>
          <w:color w:val="C00000"/>
          <w:sz w:val="24"/>
          <w:szCs w:val="24"/>
        </w:rPr>
      </w:pPr>
    </w:p>
    <w:p>
      <w:pPr>
        <w:rPr>
          <w:rFonts w:hint="eastAsia" w:ascii="標楷體" w:hAnsi="標楷體" w:eastAsia="標楷體" w:cs="標楷體"/>
          <w:color w:val="C00000"/>
          <w:sz w:val="24"/>
          <w:szCs w:val="24"/>
        </w:rPr>
      </w:pPr>
    </w:p>
    <w:p>
      <w:pPr>
        <w:rPr>
          <w:rFonts w:hint="eastAsia" w:ascii="標楷體" w:hAnsi="標楷體" w:eastAsia="標楷體" w:cs="標楷體"/>
          <w:color w:val="C00000"/>
          <w:sz w:val="24"/>
          <w:szCs w:val="24"/>
        </w:rPr>
      </w:pPr>
    </w:p>
    <w:p>
      <w:pPr>
        <w:rPr>
          <w:rFonts w:hint="eastAsia" w:ascii="標楷體" w:hAnsi="標楷體" w:eastAsia="標楷體" w:cs="標楷體"/>
          <w:color w:val="C00000"/>
          <w:sz w:val="24"/>
          <w:szCs w:val="24"/>
        </w:rPr>
      </w:pP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法規名稱：職業安全衛生法施行細則</w:t>
      </w:r>
      <w:r>
        <w:rPr>
          <w:rFonts w:hint="eastAsia" w:ascii="標楷體" w:hAnsi="標楷體" w:eastAsia="標楷體" w:cs="標楷體"/>
          <w:color w:val="C00000"/>
          <w:sz w:val="24"/>
          <w:szCs w:val="24"/>
          <w:lang w:val="en-US" w:eastAsia="zh-TW"/>
        </w:rPr>
        <w:t>(</w:t>
      </w:r>
      <w:r>
        <w:rPr>
          <w:rFonts w:hint="eastAsia" w:ascii="標楷體" w:hAnsi="標楷體" w:eastAsia="標楷體" w:cs="標楷體"/>
          <w:color w:val="4472C4" w:themeColor="accent5"/>
          <w:sz w:val="24"/>
          <w:szCs w:val="24"/>
          <w:lang w:val="en-US" w:eastAsia="zh-TW"/>
          <w14:textFill>
            <w14:solidFill>
              <w14:schemeClr w14:val="accent5"/>
            </w14:solidFill>
          </w14:textFill>
        </w:rPr>
        <w:t>本法指的是</w:t>
      </w:r>
      <w:r>
        <w:rPr>
          <w:rFonts w:hint="default" w:ascii="標楷體" w:hAnsi="標楷體" w:eastAsia="標楷體" w:cs="標楷體"/>
          <w:color w:val="4472C4" w:themeColor="accent5"/>
          <w:sz w:val="24"/>
          <w:szCs w:val="24"/>
          <w:lang w:val="en-US" w:eastAsia="zh-TW"/>
          <w14:textFill>
            <w14:solidFill>
              <w14:schemeClr w14:val="accent5"/>
            </w14:solidFill>
          </w14:textFill>
        </w:rPr>
        <w:t>”</w:t>
      </w:r>
      <w:r>
        <w:rPr>
          <w:rFonts w:hint="eastAsia" w:ascii="標楷體" w:hAnsi="標楷體" w:eastAsia="標楷體" w:cs="標楷體"/>
          <w:color w:val="4472C4" w:themeColor="accent5"/>
          <w:sz w:val="24"/>
          <w:szCs w:val="24"/>
          <w:lang w:val="en-US" w:eastAsia="zh-TW"/>
          <w14:textFill>
            <w14:solidFill>
              <w14:schemeClr w14:val="accent5"/>
            </w14:solidFill>
          </w14:textFill>
        </w:rPr>
        <w:t>職業安全衛生法</w:t>
      </w:r>
      <w:r>
        <w:rPr>
          <w:rFonts w:hint="default" w:ascii="標楷體" w:hAnsi="標楷體" w:eastAsia="標楷體" w:cs="標楷體"/>
          <w:color w:val="4472C4" w:themeColor="accent5"/>
          <w:sz w:val="24"/>
          <w:szCs w:val="24"/>
          <w:lang w:val="en-US" w:eastAsia="zh-TW"/>
          <w14:textFill>
            <w14:solidFill>
              <w14:schemeClr w14:val="accent5"/>
            </w14:solidFill>
          </w14:textFill>
        </w:rPr>
        <w:t>”</w:t>
      </w:r>
      <w:r>
        <w:rPr>
          <w:rFonts w:hint="eastAsia" w:ascii="標楷體" w:hAnsi="標楷體" w:eastAsia="標楷體" w:cs="標楷體"/>
          <w:color w:val="4472C4" w:themeColor="accent5"/>
          <w:sz w:val="24"/>
          <w:szCs w:val="24"/>
          <w:lang w:val="en-US" w:eastAsia="zh-TW"/>
          <w14:textFill>
            <w14:solidFill>
              <w14:schemeClr w14:val="accent5"/>
            </w14:solidFill>
          </w14:textFill>
        </w:rPr>
        <w:t>)</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修正日期：民國 109 年 02 月 27 日</w:t>
      </w:r>
    </w:p>
    <w:p>
      <w:pPr>
        <w:spacing w:beforeLines="0" w:afterLines="0"/>
        <w:jc w:val="left"/>
        <w:rPr>
          <w:rFonts w:hint="eastAsia" w:ascii="標楷體" w:hAnsi="標楷體" w:eastAsia="標楷體" w:cs="標楷體"/>
          <w:color w:val="C00000"/>
          <w:sz w:val="24"/>
          <w:szCs w:val="24"/>
        </w:rPr>
      </w:pPr>
      <w:r>
        <w:rPr>
          <w:rFonts w:hint="eastAsia" w:ascii="標楷體" w:hAnsi="標楷體" w:eastAsia="標楷體" w:cs="標楷體"/>
          <w:color w:val="C00000"/>
          <w:sz w:val="24"/>
          <w:szCs w:val="24"/>
        </w:rPr>
        <w:t>第 一 章 總則</w:t>
      </w:r>
    </w:p>
    <w:tbl>
      <w:tblPr>
        <w:tblStyle w:val="4"/>
        <w:tblW w:w="11940" w:type="dxa"/>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721"/>
        <w:gridCol w:w="756"/>
        <w:gridCol w:w="10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tcPr>
          <w:p>
            <w:pPr>
              <w:spacing w:beforeLines="0" w:afterLines="0"/>
              <w:jc w:val="left"/>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本細則依職業安全衛生法（以下簡稱本法）第五十四條規定訂定之。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tcPr>
          <w:p>
            <w:pPr>
              <w:spacing w:beforeLines="0" w:afterLines="0"/>
              <w:jc w:val="left"/>
              <w:rPr>
                <w:rFonts w:hint="eastAsia" w:ascii="標楷體" w:hAnsi="標楷體" w:eastAsia="標楷體" w:cs="標楷體"/>
                <w:b/>
                <w:bCs/>
                <w:color w:val="2F5597" w:themeColor="accent5" w:themeShade="BF"/>
                <w:sz w:val="24"/>
                <w:szCs w:val="24"/>
                <w:vertAlign w:val="baseline"/>
                <w:lang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rPr>
            </w:pPr>
            <w:r>
              <w:rPr>
                <w:rFonts w:hint="eastAsia" w:ascii="標楷體" w:hAnsi="標楷體" w:eastAsia="標楷體" w:cs="標楷體"/>
                <w:b/>
                <w:bCs/>
                <w:color w:val="2F5597" w:themeColor="accent5" w:themeShade="BF"/>
                <w:sz w:val="24"/>
              </w:rPr>
              <w:t>第 54 條</w:t>
            </w:r>
            <w:r>
              <w:rPr>
                <w:rFonts w:hint="eastAsia" w:ascii="標楷體" w:hAnsi="標楷體" w:eastAsia="標楷體" w:cs="標楷體"/>
                <w:b/>
                <w:bCs/>
                <w:color w:val="2F5597" w:themeColor="accent5" w:themeShade="BF"/>
                <w:sz w:val="24"/>
                <w:lang w:val="en-US" w:eastAsia="zh-TW"/>
              </w:rPr>
              <w:t xml:space="preserve"> </w:t>
            </w:r>
            <w:r>
              <w:rPr>
                <w:rFonts w:hint="eastAsia" w:ascii="標楷體" w:hAnsi="標楷體" w:eastAsia="標楷體" w:cs="標楷體"/>
                <w:b/>
                <w:bCs/>
                <w:color w:val="2F5597" w:themeColor="accent5" w:themeShade="BF"/>
                <w:sz w:val="22"/>
              </w:rPr>
              <w:t>本法施行細則，由中央主管機關定之。</w:t>
            </w:r>
            <w:r>
              <w:rPr>
                <w:rFonts w:hint="eastAsia" w:ascii="標楷體" w:hAnsi="標楷體" w:eastAsia="標楷體" w:cs="標楷體"/>
                <w:b/>
                <w:bCs/>
                <w:color w:val="2F5597" w:themeColor="accent5" w:themeShade="BF"/>
                <w:sz w:val="22"/>
                <w:lang w:val="en-US" w:eastAsia="zh-TW"/>
              </w:rPr>
              <w:t xml:space="preserve"> 此”本法”所指的是-職業安全衛生法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本法第二條第一款、第十條第二項及第五十一條第一項所稱自營作業者，指獨立從事勞動或技藝工作，獲致報酬，且未僱用有酬人員幫同工作者。</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本法第二條第一款所稱其他受工作場所負責人指揮或監督從事勞動之人員，指與事業單位無僱傭關係，於其工作場所從事勞動或以學習技能、接受職業訓練為目的從事勞動之工作者。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自營作業者，</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指獨立從事勞動或技藝工作，獲致報酬，且未僱用有酬人員幫同工作者。</w:t>
            </w:r>
          </w:p>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其他受工作場所負責人指揮或監督從事勞動之人員</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指與事業單位無僱傭關係，於其工作場所從事勞動或以學習技能、接受職業訓練為目的從事勞動之工作者。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spacing w:beforeLines="0" w:afterLines="0"/>
              <w:jc w:val="left"/>
              <w:rPr>
                <w:rFonts w:hint="eastAsia" w:ascii="標楷體" w:hAnsi="標楷體" w:eastAsia="標楷體" w:cs="標楷體"/>
                <w:b/>
                <w:bCs/>
                <w:color w:val="000000" w:themeColor="text1"/>
                <w:sz w:val="22"/>
                <w:lang w:val="en-US" w:eastAsia="zh-TW"/>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一、工作者：指勞工、自營作業者及其他受工作場所負責人指揮或監督從事勞動之人員。</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10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雇主對於具有危害性之化學品，應予標示、製備清單及揭示安全資料表，並採取必要之通識措施。</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製造者、輸入者或供應者，提供前項化學品與事業單位或自營作業者前，應予標示及提供安全資料表；資料異動時，亦同。</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前二項化學品之範圍、標示、清單格式、安全資料表、揭示、通識措施及其他應遵行事項之規則，由中央主管機關定之。</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51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自營作業者準用第五條至第七條、第九條、第十條、第十四條、第十六條、第二十四條有關雇主之義務及罰則之規定。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本法第二條第一款、第十八條第一項、第二十七條第一項第一款及第五十一條第二項所稱工作場所負責人，指雇主或於該工作場所代表雇主從事管理、指揮或監督工作者從事勞動之人。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工作場所負責人</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指雇主或於該工作場所代表雇主從事管理、指揮或監督工作者從事勞動之人。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一、工作者：指勞工、自營作業者及其他受工作場所負責人指揮或監督從事勞動之人員。</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18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工作場所有立即發生危險之虞時，雇主或工作場所負責人應即令停止作業，並使勞工退避至安全場所。</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事業單位與承攬人、再承攬人分別僱用勞工共同作業時，為防止職業災害，原事業單位應採取下列必要措施：</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一、設置協議組織，並指定工作場所負責人，擔任指揮、監督及協調之工作。</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51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第二條第一款所定受工作場所負責人指揮或監督從事勞動之人員，於事業單位工作場所從事勞動，比照該事業單位之勞工，適用本法之規定。但第二十條之體格檢查及在職勞工健康檢查之規定，不在此限。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條第二款、第十八條第三項及第三十六條第一項所稱工資，指勞工因工作而獲得之報酬，包括工資、薪金及按計時、計日、計月、計件以現金或實物等方式給付之獎金、津貼及其他任何名義之經常性給與均屬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工資</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指勞工因工作而獲得之報酬，包括工資、薪金及按計時、計日、計月、計件以現金或實物等方式給付之獎</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金、津貼及其他任何名義之經常性給與均屬之。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二、勞工：指受僱從事工作獲致工資者。</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18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雇主不得對前項勞工予以解僱、調職、不給付停止作業期間工資或其他不利之處分。但雇主證明勞工濫用停止作業權，經報主管機關認定，並符合勞動法令規定者，不在此限。</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36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本法第二條第五款、第三十六條第一項及第三十七條第二項所稱勞動場所，包括下列場所：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一、於勞動契約存續中，由雇主所提示，使勞工履行契約提供勞務之場所。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二、自營作業者實際從事勞動之場所。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三、其他受工作場所負責人指揮或監督從事勞動之人員，實際從事勞動之場所。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十五條第一項、第十七條、第十八條第一項、第二十三條第二項、第二十七條第一項、第三十七條第一項、第三項、第三十八條及第五十一條第二項所稱工作場所，指勞動場所中，接受雇主或代理雇主指示處理有關勞工事務之人所能支配、管理之場所。</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3 </w:t>
            </w:r>
            <w:r>
              <w:rPr>
                <w:rFonts w:hint="eastAsia" w:ascii="標楷體" w:hAnsi="標楷體" w:eastAsia="標楷體" w:cs="標楷體"/>
                <w:b/>
                <w:bCs/>
                <w:color w:val="C00000"/>
                <w:sz w:val="24"/>
                <w:szCs w:val="24"/>
              </w:rPr>
              <w:t>本法第六條第一項第五款、第十二條第一項、第三項、第五項、第二十一條第一項及第二十九條第三項所稱作業場所，指工作場所中，從事特定工作目的之場所。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勞動場所，包括下列場所：</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一、於勞動契約存續中，由雇主所提示，使勞工履行契約提供勞務之場所。</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二、自營作業者實際從事勞動之場所。</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三、其他受工作場所負責人指揮或監督從事勞動之人員，實際從事勞動之場所。</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所稱工作場所</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指勞動場所中，接受雇主或代理雇主指示處理有關勞工事務之人所能支配、管理之場所。</w:t>
            </w:r>
          </w:p>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3.</w:t>
            </w:r>
            <w:r>
              <w:rPr>
                <w:rFonts w:hint="eastAsia" w:ascii="標楷體" w:hAnsi="標楷體" w:eastAsia="標楷體" w:cs="標楷體"/>
                <w:b/>
                <w:bCs/>
                <w:color w:val="2F5597" w:themeColor="accent5" w:themeShade="BF"/>
                <w:sz w:val="24"/>
                <w:szCs w:val="24"/>
              </w:rPr>
              <w:t>所稱作業場所</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指工作場所中，從事特定工作目的之場所。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2"/>
                <w:lang w:val="en-US" w:eastAsia="zh-TW"/>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五、職業災害：指因勞動場所之建築物、機械、設備、原料、材料、化學品、氣體、蒸氣、粉塵等或作業活動及其他職業上原因引起之工作者疾病、傷害、失能或死亡。</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36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事業單位勞動場所發生下列職業災害之一者，雇主應於八小時內通報勞動檢查機構：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一、發生死亡災害。</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二、發生災害之罹災人數在三人以上。</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三、發生災害之罹災人數在一人以上，且需住院治療。</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四、其他經中央主管機關指定公告之災害。</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勞動檢查機構接獲前項報告後，應就工作場所發生死亡或重傷之災害派員檢查。</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4 </w:t>
            </w:r>
            <w:r>
              <w:rPr>
                <w:rFonts w:hint="eastAsia" w:ascii="標楷體" w:hAnsi="標楷體" w:eastAsia="標楷體" w:cs="標楷體"/>
                <w:b/>
                <w:bCs/>
                <w:color w:val="000000" w:themeColor="text1"/>
                <w:sz w:val="22"/>
                <w14:textFill>
                  <w14:solidFill>
                    <w14:schemeClr w14:val="tx1"/>
                  </w14:solidFill>
                </w14:textFill>
              </w:rPr>
              <w:t>事業單位發生第二項之災害，除必要之急救、搶救外，雇主非經司法機關或勞動檢查機構許可，不得移動或破壞現場。</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15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有下列情事之一之工作場所，事業單位應依中央主管機關規定之期限，定期實施製程安全評估，並製作製程安全評估報告及採取必要之預防措施；製程修改時，亦同：</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一、從事石油裂解之石化工業。</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二、從事製造、處置或使用危害性之化學品數量達中央主管機關規定量以上。</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勞工工作場所之建築物，應由依法登記開業之建築師依建築法規及本法有關安全衛生之規定設計。</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18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工作場所有立即發生危險之虞時，雇主或工作場所負責人應即令停止作業，並使勞工退避至安全場所。</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23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前項之事業單位達一定規模以上或有第十五條第一項所定之工作場所者，應建置職業安全衛生管理系統。</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事業單位與承攬人、再承攬人分別僱用勞工共同作業時，為防止職業災害，原事業單位應採取下列必要措施：</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一、設置協議組織，並指定工作場所負責人，擔任指揮、監督及協調之工作。</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二、工作之連繫與調整。</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三、工作場所之巡視。</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四、相關承攬事業間之安全衛生教育之指導及協助。</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五、其他為防止職業災害之必要事項。</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事業單位工作場所發生職業災害，雇主應即採取必要之急救、搶救等措施，並會同勞工代表實施調查、分析及作成紀錄。</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勞動檢查機構接獲前項報告後，應就工作場所發生死亡或重傷之災害派員檢查。</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38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中央主管機關指定之事業，雇主應依規定填載職業災害內容及統計，按月報請勞動檢查機構備查，並公布於工作場所。</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51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第二條第一款所定受工作場所負責人指揮或監督從事勞動之人員，於事業單位工作場所從事勞動，比照該事業單位之勞工，適用本法之規定。但第二十條之體格檢查及在職勞工健康檢查之規定，不在此限。</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6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雇主對下列事項應有符合規定之必要安全衛生設備及措施：</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五、防止有墜落、物體飛落或崩塌等之虞之作業場所引起之危害。</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12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雇主對於中央主管機關定有容許暴露標準之作業場所，應確保勞工之危害暴露低於標準值。</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前項之容許暴露標準，由中央主管機關定之。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4 </w:t>
            </w:r>
            <w:r>
              <w:rPr>
                <w:rFonts w:hint="eastAsia" w:ascii="標楷體" w:hAnsi="標楷體" w:eastAsia="標楷體" w:cs="標楷體"/>
                <w:b/>
                <w:bCs/>
                <w:color w:val="000000" w:themeColor="text1"/>
                <w:sz w:val="22"/>
                <w14:textFill>
                  <w14:solidFill>
                    <w14:schemeClr w14:val="tx1"/>
                  </w14:solidFill>
                </w14:textFill>
              </w:rPr>
              <w:t>雇主對於前項監測計畫及監測結果，應公開揭示，並通報中央主管機關。中央主管機關或勞動檢查機構得實施查核。</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5 </w:t>
            </w:r>
            <w:r>
              <w:rPr>
                <w:rFonts w:hint="eastAsia" w:ascii="標楷體" w:hAnsi="標楷體" w:eastAsia="標楷體" w:cs="標楷體"/>
                <w:b/>
                <w:bCs/>
                <w:color w:val="000000" w:themeColor="text1"/>
                <w:sz w:val="22"/>
                <w14:textFill>
                  <w14:solidFill>
                    <w14:schemeClr w14:val="tx1"/>
                  </w14:solidFill>
                </w14:textFill>
              </w:rPr>
              <w:t>前二項之作業場所指定、監測計畫與監測結果揭示、通報、監測機構與監測人員資格條件、認可、撤銷與廢止、查核方式及其他應遵行事項之辦法，由中央主管機關定之。</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21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雇主依前條體格檢查發現應僱勞工不適於從事某種工作，不得僱用其從事該項工作。健康檢查發現勞工有異常情形者，應由醫護人員提供其健康指導；其經醫師健康評估結果，不能適應原有工作者，應參採醫師之建議，變更其作業場所、更換工作或縮短工作時間，並採取健康管理措施。</w:t>
            </w:r>
          </w:p>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29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未滿十八歲者從事第一項以外之工作，經第二十條或第二十二條之醫師評估結果，不能適應原有工作者，雇主應參採醫師之建議，變更其作業場所、更換工作或縮短工作時間，並採取健康管理措施。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6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本法第二條第五款所稱職業上原因，指隨作業活動所衍生，於勞動上一切必要行為及其附隨行為而具有相當因果關係者。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職業上原因</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指隨作業活動所衍生，於勞動上一切必要行為及其附隨行為而具有相當因果關係者。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2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本法用詞，定義如下：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五、職業災害：指因勞動場所之建築物、機械、設備、原料、材料、化學品、氣體、蒸氣、粉塵等或作業活動及其他職業上原因引起之工作者疾病、傷害、失能或死亡。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7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本法第四條所稱各業，適用中華民國行業標準分類之規定。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各業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適用中華民國行業標準分類之規定。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4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本法適用於各業。但因事業規模、性質及風險等因素，中央主管機關得指定公告其適用本法之部分規定。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8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五條第一項所稱合理可行範圍，指依本法及有關安全衛生法令、指引、實務規範或一般社會通念，雇主明知或可得而知勞工所從事之工作，有致其生命、身體及健康受危害之虞，並可採取必要之預防設備或措施者。</w:t>
            </w:r>
          </w:p>
          <w:p>
            <w:pPr>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本法第五條第二項所稱風險評估，指辨識、分析及評量風險之程序。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numPr>
                <w:ilvl w:val="0"/>
                <w:numId w:val="1"/>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合理可行範圍</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指依本法及有關安全衛生法令、指引、實務規範或一般社會通念，雇主明知或可得而知勞工所從事之工作，有致其生命、身體及健康受危害之虞，並可採取必要之預防設備或措施者。</w:t>
            </w:r>
          </w:p>
          <w:p>
            <w:pPr>
              <w:numPr>
                <w:ilvl w:val="0"/>
                <w:numId w:val="1"/>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風險評估</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指辨識、分析及評量風險之程序。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5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雇主使勞工從事工作，應在合理可行範圍內，採取必要之預防設備或措施，使勞工免於發生職業災害。</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機械、設備、器具、原料、材料等物件之設計、製造或輸入者及工程之設計或施工者，應於設計、製造、輸入或施工規劃階段實施風險評估，致力防止此等物件於使用或工程施工時，發生職業災害。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本法第六條第二項第三款所定執行職務因他人行為遭受身體或精神不法侵害之預防，為雇主避免勞工因執行職務，於勞動場所遭受他人之不法侵害行為，造成身體或精神之傷害，所採取預防之必要措施。</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前項不法之侵害，由各該管主管機關或司法機關依規定調查或認定。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i w:val="0"/>
                <w:caps w:val="0"/>
                <w:color w:val="2F5597" w:themeColor="accent5" w:themeShade="BF"/>
                <w:spacing w:val="0"/>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numPr>
                <w:ilvl w:val="0"/>
                <w:numId w:val="2"/>
              </w:numPr>
              <w:spacing w:beforeLines="0" w:afterLines="0"/>
              <w:jc w:val="left"/>
              <w:rPr>
                <w:rFonts w:hint="eastAsia" w:ascii="標楷體" w:hAnsi="標楷體" w:eastAsia="標楷體" w:cs="標楷體"/>
                <w:b/>
                <w:bCs/>
                <w:i w:val="0"/>
                <w:caps w:val="0"/>
                <w:color w:val="2F5597" w:themeColor="accent5" w:themeShade="BF"/>
                <w:spacing w:val="0"/>
                <w:sz w:val="24"/>
                <w:szCs w:val="24"/>
                <w:lang w:val="en-US" w:eastAsia="zh-TW"/>
              </w:rPr>
            </w:pPr>
            <w:r>
              <w:rPr>
                <w:rFonts w:hint="eastAsia" w:ascii="標楷體" w:hAnsi="標楷體" w:eastAsia="標楷體" w:cs="標楷體"/>
                <w:b/>
                <w:bCs/>
                <w:i w:val="0"/>
                <w:caps w:val="0"/>
                <w:color w:val="2F5597" w:themeColor="accent5" w:themeShade="BF"/>
                <w:spacing w:val="0"/>
                <w:sz w:val="24"/>
                <w:szCs w:val="24"/>
              </w:rPr>
              <w:t>執行職務因他人行為遭受身體或精神不法侵害之預防。</w:t>
            </w:r>
            <w:r>
              <w:rPr>
                <w:rFonts w:hint="eastAsia" w:ascii="標楷體" w:hAnsi="標楷體" w:eastAsia="標楷體" w:cs="標楷體"/>
                <w:b/>
                <w:bCs/>
                <w:i w:val="0"/>
                <w:caps w:val="0"/>
                <w:color w:val="2F5597" w:themeColor="accent5" w:themeShade="BF"/>
                <w:spacing w:val="0"/>
                <w:sz w:val="24"/>
                <w:szCs w:val="24"/>
                <w:lang w:val="en-US" w:eastAsia="zh-TW"/>
              </w:rPr>
              <w:t>(來自於職業安全衛生法-第六條第二項第三款)</w:t>
            </w:r>
          </w:p>
          <w:p>
            <w:pPr>
              <w:numPr>
                <w:ilvl w:val="0"/>
                <w:numId w:val="0"/>
              </w:numPr>
              <w:spacing w:beforeLines="0" w:afterLines="0"/>
              <w:ind w:left="0" w:leftChars="0" w:firstLine="0" w:firstLineChars="0"/>
              <w:jc w:val="left"/>
              <w:rPr>
                <w:rFonts w:hint="eastAsia" w:ascii="標楷體" w:hAnsi="標楷體" w:eastAsia="標楷體" w:cs="標楷體"/>
                <w:b/>
                <w:bCs/>
                <w:color w:val="2F5597" w:themeColor="accent5" w:themeShade="BF"/>
                <w:sz w:val="24"/>
                <w:szCs w:val="24"/>
                <w:lang w:eastAsia="zh-TW"/>
              </w:rPr>
            </w:pPr>
            <w:r>
              <w:rPr>
                <w:rFonts w:hint="eastAsia" w:ascii="標楷體" w:hAnsi="標楷體" w:eastAsia="標楷體" w:cs="標楷體"/>
                <w:b/>
                <w:bCs/>
                <w:color w:val="2F5597" w:themeColor="accent5" w:themeShade="BF"/>
                <w:sz w:val="24"/>
                <w:szCs w:val="24"/>
                <w:lang w:eastAsia="zh-TW"/>
              </w:rPr>
              <w:t>解釋內容</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執行職務因他人行為遭受身體或精神不法侵害之預防，為雇主避免勞工因執行職務，於勞動場所遭受他人之不法侵害行為，造成身體或精神之傷害，所採取預防之必要措施。不法之侵害，由各該管主管機關或司法機關依規定調查或認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lang w:eastAsia="zh-TW"/>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6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雇主對下列事項，應妥為規劃及採取必要之安全衛生措施：</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三、執行職務因他人行為遭受身體或精神不法侵害之預防。</w:t>
            </w:r>
          </w:p>
          <w:p>
            <w:pPr>
              <w:numPr>
                <w:ilvl w:val="0"/>
                <w:numId w:val="0"/>
              </w:numPr>
              <w:spacing w:beforeLines="0" w:afterLines="0"/>
              <w:ind w:left="0" w:leftChars="0" w:firstLine="0" w:firstLineChar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前二項必要之安全衛生設備與措施之標準及規則，由中央主管機關定之。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12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本法第七條第一項所稱中央主管機關指定之機械、設備或器具如下：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一、動力衝剪機械。</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二、手推刨床。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三、木材加工用圓盤鋸。</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四、動力堆高機。</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五、研磨機。</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六、研磨輪。</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七、防爆電氣設備。</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八、動力衝剪機械之光電式安全裝置。</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九、手推刨床之刃部接觸預防裝置。</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十、木材加工用圓盤鋸之反撥預防裝置及鋸齒接觸預防裝置。</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十一、其他經中央主管機關指定公告者。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所稱中央主管機關指定之機械、設備或器具如下：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一、動力衝剪機械。</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二、手推刨床。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三、木材加工用圓盤鋸。</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四、動力堆高機。</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五、研磨機。</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六、研磨輪。</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七、防爆電氣設備。</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八、動力衝剪機械之光電式安全裝置。</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九、手推刨床之刃部接觸預防裝置。</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十、木材加工用圓盤鋸之反撥預防裝置及鋸齒接觸預防裝置。</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十一、其他經中央主管機關指定公告者。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7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製造者、輸入者、供應者或雇主，對於中央主管機關指定之機械、設備或器具，其構造、性能及防護非符合安全標準者，不得產製運出廠場、輸入、租賃、供應或設置。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13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本法第七條至第九條所稱型式驗證，指由驗證機構對某一型式之機械、設備或器具等產品，審驗符合安全標準之程序。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型式驗證</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指由驗證機構對某一型式之機械、設備或器具等產品，審驗符合安全標準之程序。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7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製造者、輸入者、供應者或雇主，對於中央主管機關指定之機械、設備或器具，其構造、性能及防護非符合安全標準者，不得產製運出廠場、輸入、租賃、供應或設置。</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前項之安全標準，由中央主管機關定之。</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製造者或輸入者對於第一項指定之機械、設備或器具，符合前項安全標準者，應於中央主管機關指定之資訊申報網站登錄，並於其產製或輸入之產品明顯處張貼安全標示，以供識別。但屬於公告列入型式驗證之產品，應依第八條及第九條規定辦理。</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前項資訊登錄方式、標示及其他應遵行事項之辦法，由中央主管機關定之。</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8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製造者或輸入者對於中央主管機關公告列入型式驗證之機械、設備或器具，非經中央主管機關認可之驗證機構實施型式驗證合格及張貼合格標章，不得產製運出廠場或輸入。</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前項應實施型式驗證之機械、設備或器具，有下列情形之一者，得免驗證，不受前項規定之限制：</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一、依第十六條或其他法律規定實施檢查、檢驗、驗證或認可。</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二、供國防軍事用途使用，並有國防部或其直屬機關出具證明。</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三、限量製造或輸入僅供科技研發、測試用途之專用機型，並經中央主管機關核准。</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四、非供實際使用或作業用途之商業樣品或展覽品，並經中央主管機關核准。</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五、其他特殊情形，有免驗證之必要，並經中央主管機關核准。</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第一項之驗證，因產品構造規格特殊致驗證有困難者，報驗義務人得檢附產品安全評估報告，向中央主管機關申請核准採用適當檢驗方式為之。</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輸入者對於第一項之驗證，因驗證之需求，得向中央主管機關申請先行放行，經核准後，於產品之設置地點實施驗證。</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5 </w:t>
            </w:r>
            <w:r>
              <w:rPr>
                <w:rFonts w:hint="eastAsia" w:ascii="標楷體" w:hAnsi="標楷體" w:eastAsia="標楷體" w:cs="標楷體"/>
                <w:b/>
                <w:bCs/>
                <w:color w:val="000000"/>
                <w:sz w:val="22"/>
              </w:rPr>
              <w:t>前四項之型式驗證實施程序、項目、標準、報驗義務人、驗證機構資格條件、認可、撤銷與廢止、合格標章、標示方法、先行放行條件、申請免驗、安全評估報告、監督管理及其他應遵行事項之辦法，由中央主管機關定之。</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9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製造者、輸入者、供應者或雇主，對於未經型式驗證合格之產品或型式驗證逾期者，不得使用驗證合格標章或易生混淆之類似標章揭示於產品。</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中央主管機關或勞動檢查機構，得對公告列入應實施型式驗證之產品，進行抽驗及市場查驗，業者不得規避、妨礙或拒絕。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14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本法第十條第一項所稱具有危害性之化學品，指下列之危險物或有害物：</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一、危險物：符合國家標準CNS15030分類，具有物理性危害者。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二、有害物：符合國家標準CNS15030分類，具有健康危害者。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所稱具有危害性之化學品，指下列之危險物或有害物：</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一、危險物：符合國家標準CNS15030分類，具有物理性危害者。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二、有害物：符合國家標準CNS15030分類，具有健康危害者。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10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雇主對於具有危害性之化學品，應予標示、製備清單及揭示安全資料表，並採取必要之通識措施。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15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本法第十條第一項所稱危害性化學品之清單，指記載化學品名稱、製造商或供應商基本資料、使用及貯存量等項目之清冊或表單。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所稱危害性化學品之清單</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指記載化學品名稱、製造商或供應商基本資料、使用及貯存量等項目之清冊或表單。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10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雇主對於具有危害性之化學品，應予標示、製備清單及揭示安全資料表，並採取必要之通識措施。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16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本法第十條第一項所稱危害性化學品之安全資料表，指記載化學品名稱、製造商或供應商基本資料、危害特性、緊急處理及危害預防措施等項目之表單。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所稱危害性化學品之安全資料表</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指記載化學品名稱、製造商或供應商基本資料、危害特性、緊急處理及危害預防措施等項目之表單。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10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雇主對於具有危害性之化學品，應予標示、製備清單及揭示安全資料表，並採取必要之通識措施。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spacing w:beforeLines="0" w:afterLines="0"/>
              <w:jc w:val="left"/>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17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本法第十二條第三項所稱作業環境監測，指為掌握勞工作業環境實態與評估勞工暴露狀況，所採取之規劃、採樣、測定、分析及評估。</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本法第十二條第三項規定應訂定作業環境監測計畫及實施監測之作業場所如下：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一、設置有中央管理方式之空氣調節設備之建築物室內作業場所。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二、坑內作業場所。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三、顯著發生噪音之作業場所。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四、下列作業場所，經中央主管機關指定者：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（一）高溫作業場所。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（二）粉塵作業場所。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（三）鉛作業場所。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（四）四烷基鉛作業場所。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（五）有機溶劑作業場所。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（六）特定化學物質作業場所。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五、其他經中央主管機關指定公告之作業場所。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tcPr>
          <w:p>
            <w:pPr>
              <w:spacing w:beforeLines="0" w:afterLines="0"/>
              <w:jc w:val="left"/>
              <w:rPr>
                <w:rFonts w:hint="eastAsia" w:ascii="標楷體" w:hAnsi="標楷體" w:eastAsia="標楷體" w:cs="標楷體"/>
                <w:b/>
                <w:bCs/>
                <w:color w:val="C00000"/>
                <w:sz w:val="24"/>
                <w:szCs w:val="24"/>
                <w:lang w:eastAsia="zh-TW"/>
              </w:rPr>
            </w:pPr>
            <w:r>
              <w:rPr>
                <w:rFonts w:hint="eastAsia" w:ascii="標楷體" w:hAnsi="標楷體" w:eastAsia="標楷體" w:cs="標楷體"/>
                <w:b/>
                <w:bCs/>
                <w:color w:val="2F5597" w:themeColor="accent5" w:themeShade="BF"/>
                <w:sz w:val="24"/>
                <w:szCs w:val="24"/>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lang w:val="en-US" w:eastAsia="zh-TW"/>
                <w14:textFill>
                  <w14:solidFill>
                    <w14:schemeClr w14:val="accent5"/>
                  </w14:solidFill>
                </w14:textFill>
              </w:rPr>
              <w:t>1.</w:t>
            </w:r>
            <w:r>
              <w:rPr>
                <w:rFonts w:hint="eastAsia" w:ascii="標楷體" w:hAnsi="標楷體" w:eastAsia="標楷體" w:cs="標楷體"/>
                <w:b/>
                <w:bCs/>
                <w:color w:val="4472C4" w:themeColor="accent5"/>
                <w:sz w:val="24"/>
                <w:szCs w:val="24"/>
                <w14:textFill>
                  <w14:solidFill>
                    <w14:schemeClr w14:val="accent5"/>
                  </w14:solidFill>
                </w14:textFill>
              </w:rPr>
              <w:t>作業環境監測</w:t>
            </w:r>
            <w:r>
              <w:rPr>
                <w:rFonts w:hint="eastAsia" w:ascii="標楷體" w:hAnsi="標楷體" w:eastAsia="標楷體" w:cs="標楷體"/>
                <w:b/>
                <w:bCs/>
                <w:color w:val="4472C4" w:themeColor="accent5"/>
                <w:sz w:val="24"/>
                <w:szCs w:val="24"/>
                <w:lang w:val="en-US" w:eastAsia="zh-TW"/>
                <w14:textFill>
                  <w14:solidFill>
                    <w14:schemeClr w14:val="accent5"/>
                  </w14:solidFill>
                </w14:textFill>
              </w:rPr>
              <w:t>:</w:t>
            </w:r>
            <w:r>
              <w:rPr>
                <w:rFonts w:hint="eastAsia" w:ascii="標楷體" w:hAnsi="標楷體" w:eastAsia="標楷體" w:cs="標楷體"/>
                <w:b/>
                <w:bCs/>
                <w:color w:val="4472C4" w:themeColor="accent5"/>
                <w:sz w:val="24"/>
                <w:szCs w:val="24"/>
                <w14:textFill>
                  <w14:solidFill>
                    <w14:schemeClr w14:val="accent5"/>
                  </w14:solidFill>
                </w14:textFill>
              </w:rPr>
              <w:t>指為掌握勞工作業環境實態與評估勞工暴露狀況，所採取之規劃、採樣、測定、分析及評估。</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lang w:val="en-US" w:eastAsia="zh-TW"/>
                <w14:textFill>
                  <w14:solidFill>
                    <w14:schemeClr w14:val="accent5"/>
                  </w14:solidFill>
                </w14:textFill>
              </w:rPr>
              <w:t>2.</w:t>
            </w:r>
            <w:r>
              <w:rPr>
                <w:rFonts w:hint="eastAsia" w:ascii="標楷體" w:hAnsi="標楷體" w:eastAsia="標楷體" w:cs="標楷體"/>
                <w:b/>
                <w:bCs/>
                <w:color w:val="4472C4" w:themeColor="accent5"/>
                <w:sz w:val="24"/>
                <w:szCs w:val="24"/>
                <w14:textFill>
                  <w14:solidFill>
                    <w14:schemeClr w14:val="accent5"/>
                  </w14:solidFill>
                </w14:textFill>
              </w:rPr>
              <w:t>應訂定作業環境監測計畫及實施監測之作業場所如下：</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一、設置有中央管理方式之空氣調節設備之建築物室內作業場所。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二、坑內作業場所。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三、顯著發生噪音之作業場所。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四、下列作業場所，經中央主管機關指定者：</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（一）高溫作業場所。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（二）粉塵作業場所。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（三）鉛作業場所。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（四）四烷基鉛作業場所。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（五）有機溶劑作業場所。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（六）特定化學物質作業場所。</w:t>
            </w:r>
          </w:p>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4472C4" w:themeColor="accent5"/>
                <w:sz w:val="24"/>
                <w:szCs w:val="24"/>
                <w14:textFill>
                  <w14:solidFill>
                    <w14:schemeClr w14:val="accent5"/>
                  </w14:solidFill>
                </w14:textFill>
              </w:rPr>
              <w:t>五、其他經中央主管機關指定公告之作業場所。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spacing w:beforeLines="0" w:afterLines="0"/>
              <w:jc w:val="left"/>
              <w:rPr>
                <w:rFonts w:hint="eastAsia" w:ascii="標楷體" w:hAnsi="標楷體" w:eastAsia="標楷體" w:cs="標楷體"/>
                <w:b/>
                <w:bCs/>
                <w:color w:val="4472C4" w:themeColor="accent5"/>
                <w:sz w:val="24"/>
                <w:szCs w:val="24"/>
                <w:lang w:eastAsia="zh-TW"/>
                <w14:textFill>
                  <w14:solidFill>
                    <w14:schemeClr w14:val="accent5"/>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12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雇主對於經中央主管機關指定之作業場所，應訂定作業環境監測計畫，並設置或委託由中央主管機關認可之作業環境監測機構實施監測。但中央主管機關指定免經監測機構分析之監測項目，得僱用合格監測人員辦理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restart"/>
          </w:tcPr>
          <w:p>
            <w:pPr>
              <w:spacing w:beforeLines="0" w:afterLines="0"/>
              <w:jc w:val="left"/>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55A11" w:themeColor="accent2" w:themeShade="BF"/>
                <w:sz w:val="24"/>
                <w:szCs w:val="24"/>
                <w:vertAlign w:val="baseline"/>
                <w:lang w:eastAsia="zh-TW"/>
              </w:rPr>
              <w:t>化學類法規</w:t>
            </w:r>
          </w:p>
        </w:tc>
        <w:tc>
          <w:tcPr>
            <w:tcW w:w="756" w:type="dxa"/>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vertAlign w:val="baseline"/>
                <w:lang w:eastAsia="zh-TW"/>
              </w:rPr>
              <w:t>施行細則</w:t>
            </w:r>
          </w:p>
        </w:tc>
        <w:tc>
          <w:tcPr>
            <w:tcW w:w="10463" w:type="dxa"/>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18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中央主管機關依本法第十三條第二項，審查化學物質安全評估報告後，得予公開之資訊如下：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一、新化學物質編碼。</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二、危害分類及標示。</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三、物理及化學特性資訊。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四、毒理資訊。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五、安全使用資訊。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六、為因應緊急措施或維護工作者安全健康，有必要揭露予特定人員之資訊。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前項第六款之資訊範圍如下：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一、新化學物質名稱及基本辨識資訊。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二、製造或輸入新化學物質之數量。</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三、新化學物質於混合物之組成。</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四、新化學物質之製造、用途及暴露資訊。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0463"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審查化學物質安全評估報告後，得予公開之資訊如下：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一、新化學物質編碼。</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二、危害分類及標示。</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三、物理及化學特性資訊。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四、毒理資訊。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五、安全使用資訊。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六、為因應緊急措施或維護工作者安全健康，有必要揭露予特定人員之資訊。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前項第六款之資訊範圍如下：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一、新化學物質名稱及基本辨識資訊。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二、製造或輸入新化學物質之數量。</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三、新化學物質於混合物之組成。</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四、新化學物質之製造、用途及暴露資訊。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0463" w:type="dxa"/>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13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或輸入者對於中央主管機關公告之化學物質清單以外之新化學物質，未向中央主管機關繳交化學物質安全評估報告，並經核准登記前，不得製造或輸入含有該物質之化學品。但其他法律已規定或經中央主管機關公告不適用者，不在此限。</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前項評估報告，中央主管機關為防止危害工作者安全及健康，於審查後得予公開。</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前二項化學物質清單之公告、新化學物質之登記、評估報告內容、審查程序、資訊公開及其他應遵行事項之辦法，由中央主管機關定之。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0463" w:type="dxa"/>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19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本法第十四條第一項所稱管制性化學品如下：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一、第二十條之優先管理化學品中，經中央主管機關評估具高度暴露風險者。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0463"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所稱管制性化學品如下：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一、第二十條之優先管理化學品中，經中央主管機關評估具高度暴露風險者。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0463" w:type="dxa"/>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14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製造者、輸入者、供應者或雇主，對於經中央主管機關指定之管制性化學品，不得製造</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、輸入、供應或供工作者處置、使用。但經中央主管機關許可者，不在此限。</w:t>
            </w:r>
          </w:p>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第 20 條</w:t>
            </w:r>
          </w:p>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本法第十四條第二項所稱優先管理化學品如下：</w:t>
            </w:r>
          </w:p>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一、本法第二十九條第一項第三款及第三十條第一項第五款規定所列之危害性化學品。</w:t>
            </w:r>
          </w:p>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二、依國家標準 CNS15030 分類，屬致癌物質第一級、生殖細胞致突變性物質第一級或生殖毒性物質第一級者。</w:t>
            </w:r>
          </w:p>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三、依國家標準 CNS15030 分類，具有物理性危害或健康危害，其化學品運作量達中央主管機關規定者。</w:t>
            </w:r>
          </w:p>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14:textFill>
                  <w14:solidFill>
                    <w14:schemeClr w14:val="tx1"/>
                  </w14:solidFill>
                </w14:textFill>
              </w:rPr>
              <w:t>四、其他經中央主管機關指定公告者。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0463" w:type="dxa"/>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20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本法第十四條第二項所稱優先管理化學品如下：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一、本法第二十九條第一項第三款及第三十條第一項第五款規定所列之危害性化學品。</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二、依國家標準 CNS15030 分類，屬致癌物質第一級、生殖細胞致突變性物質第一級或生殖毒性物質第一級者。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三、依國家標準 CNS15030 分類，具有物理性危害或健康危害，其化學品運作量達中央主管機關規定者。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0463"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所稱優先管理化學品如下：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一、本法第二十九條第一項第三款及第三十條第一項第五款規定所列之危害性化學品。</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二、依國家標準 CNS15030 分類，屬致癌物質第一級、生殖細胞致突變性物質第一級或生殖毒性物質第一級者。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三、依國家標準 CNS15030 分類，具有物理性危害或健康危害，其化學品運作量達中央主管機關規定者。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0463" w:type="dxa"/>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14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製造者、輸入者、供應者或雇主，對於中央主管機關指定之優先管理化學品，應將相關運作資料報請中央主管機關備查。</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29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雇主不得使未滿十八歲者從事下列危險性或有害性工作：</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三、鉛、汞、鉻、砷、黃磷、氯氣、氰化氫、苯胺等有害物散布場所之工作。</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30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雇主不得使妊娠中之女性勞工從事下列危險性或有害性工作：</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五、處理或暴露於二硫化碳、三氯乙烯、環氧乙烷、丙烯醯胺、次乙亞胺、砷及其化合物、汞及其無機化合物等經中央主管機關規定之危害性化學品之工作。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0463" w:type="dxa"/>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本法第十五條第一項第一款所稱從事石油裂解之石化工業，指勞動檢查法第二十六條第一項第一款所定從事石油產品之裂解反應，以製造石化基本原料者。</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十五條第一項第二款所稱從事製造、處置或使用危害性之化學品，數量達中央主管機關規定量以上者，指勞動檢查法第二十六條第一項第五款所定之製造、處置或使用危險物及有害物，達中央主管機關規定之數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Merge w:val="continue"/>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0463"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所稱從事石油裂解之石化工業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指勞動檢查法第二十六條第一項第一款所定從事石油產品之裂解反應，以製造石化基本原料者。</w:t>
            </w:r>
          </w:p>
          <w:p>
            <w:pPr>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本法第十五條第一項第二款所稱從事製造、處置或使用危害性之化學品，數量達中央主管機關規定量以上者，指勞動檢查法第二十六條第一項第五款所定之製造、處置或使用危險物及有害物，達中央主管機關規定之數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Borders/>
          </w:tcPr>
          <w:p>
            <w:pPr>
              <w:spacing w:beforeLines="0" w:afterLines="0"/>
              <w:jc w:val="left"/>
              <w:rPr>
                <w:rFonts w:hint="eastAsia" w:ascii="標楷體" w:hAnsi="標楷體" w:eastAsia="標楷體" w:cs="標楷體"/>
                <w:b/>
                <w:bCs/>
                <w:color w:val="C00000"/>
                <w:sz w:val="24"/>
                <w:szCs w:val="24"/>
                <w:vertAlign w:val="baseline"/>
              </w:rPr>
            </w:pPr>
          </w:p>
        </w:tc>
        <w:tc>
          <w:tcPr>
            <w:tcW w:w="756" w:type="dxa"/>
            <w:vAlign w:val="top"/>
          </w:tcPr>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0463" w:type="dxa"/>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15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有下列情事之一之工作場所，事業單位應依中央主管機關規定之期限，定期實施製程安</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全評估，並製作製程安全評估報告及採取必要之預防措施；製程修改時，亦同：</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一、從事石油裂解之石化工業。</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26 條</w:t>
            </w:r>
            <w:r>
              <w:rPr>
                <w:rFonts w:hint="eastAsia" w:ascii="標楷體" w:hAnsi="標楷體" w:eastAsia="標楷體" w:cs="標楷體"/>
                <w:b/>
                <w:bCs/>
                <w:color w:val="000000"/>
                <w:sz w:val="24"/>
                <w:lang w:val="en-US" w:eastAsia="zh-TW"/>
              </w:rPr>
              <w:t>(勞動檢查法)</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左列危險性工作場所，非經勞動檢查機構審查或檢查合格，事業單位不得使勞工在該場所作業：</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一、從事石油裂解之石化工業之工作場所。</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二、農藥製造工作場所。</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三、爆竹煙火工廠及火藥類製造工作場所。</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四、設置高壓氣體類壓力容器或蒸汽鍋爐，其壓力或容量達中央主管機關規定者之工作場所。</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五、製造、處置、使用危險物、有害物之數量達中央主管機關規定數量之工作場所。</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六、中央主管機關會商目的事業主管機關指定之營造工程之工作場所。</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七、其他中央主管機關指定之工作場所。</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前項工作場所應審查或檢查之事項，由中央主管機關定之。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22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本法第十六條第一項所稱具有危險性之機械，指符合中央主管機關所定一定容量以上之下列機械：</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一、固定式起重機。</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二、移動式起重機。</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三、人字臂起重桿。</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四、營建用升降機。</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五、營建用提升機。</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六、吊籠。</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七、其他經中央主管機關指定公告具有危險性之機械。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rPr>
              <w:t>具有危險性之機械</w:t>
            </w:r>
            <w:r>
              <w:rPr>
                <w:rFonts w:hint="eastAsia" w:ascii="標楷體" w:hAnsi="標楷體" w:eastAsia="標楷體" w:cs="標楷體"/>
                <w:b/>
                <w:bCs/>
                <w:color w:val="2F5597" w:themeColor="accent5" w:themeShade="BF"/>
                <w:sz w:val="24"/>
                <w:szCs w:val="24"/>
                <w:lang w:val="en-US" w:eastAsia="zh-TW"/>
              </w:rPr>
              <w:t>:</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一、固定式起重機。</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二、移動式起重機。</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三、人字臂起重桿。</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四、營建用升降機。</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五、營建用提升機。</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六、吊籠。</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七、其他經中央主管機關指定公告具有危險性之機械。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16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雇主對於經中央主管機關指定具有危險性之機械或設備，非經勞動檢查機構或中央主管機關指定之代行檢查機構檢查合格，不得使用；其使用超過規定期間者，非經再檢查合格，不得繼續使用。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23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本法第十六條第一項所稱具有危險性之設備，指符合中央主管機關所定一定容量以上之下列設備：</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一、鍋爐。</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二、壓力容器。</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三、高壓氣體特定設備。</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四、高壓氣體容器。</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五、其他經中央主管機關指定公告具有危險性之設備。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rPr>
              <w:t>具有危險性之設備</w:t>
            </w:r>
            <w:r>
              <w:rPr>
                <w:rFonts w:hint="eastAsia" w:ascii="標楷體" w:hAnsi="標楷體" w:eastAsia="標楷體" w:cs="標楷體"/>
                <w:b/>
                <w:bCs/>
                <w:color w:val="2F5597" w:themeColor="accent5" w:themeShade="BF"/>
                <w:sz w:val="24"/>
                <w:szCs w:val="24"/>
                <w:lang w:val="en-US" w:eastAsia="zh-TW"/>
              </w:rPr>
              <w:t>:</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一、鍋爐。</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二、壓力容器。</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三、高壓氣體特定設備。</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四、高壓氣體容器。</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五、其他經中央主管機關指定公告具有危險性之設備。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16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雇主對於經中央主管機關指定具有危險性之機械或設備，非經勞動檢查機構或中央主管機關指定之代行檢查機構檢查合格，不得使用；其使用超過規定期間者，非經再檢查合格，不得繼續使用。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24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本法第十六條第一項規定之檢查，由中央主管機關依機械、設備之種類、特性，就下列檢查項目分別定之：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一、熔接檢查。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二、構造檢查。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三、竣工檢查。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四、定期檢查。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五、重新檢查。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六、型式檢查。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七、使用檢查。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八、變更檢查。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rPr>
              <w:t>規定之檢查</w:t>
            </w:r>
            <w:r>
              <w:rPr>
                <w:rFonts w:hint="eastAsia" w:ascii="標楷體" w:hAnsi="標楷體" w:eastAsia="標楷體" w:cs="標楷體"/>
                <w:b/>
                <w:bCs/>
                <w:color w:val="2F5597" w:themeColor="accent5" w:themeShade="BF"/>
                <w:sz w:val="24"/>
                <w:szCs w:val="24"/>
                <w:lang w:val="en-US" w:eastAsia="zh-TW"/>
              </w:rPr>
              <w:t>:</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一、熔接檢查。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二、構造檢查。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三、竣工檢查。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四、定期檢查。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五、重新檢查。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六、型式檢查。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七、使用檢查。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八、變更檢查。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16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雇主對於經中央主管機關指定具有危險性之機械或設備，非經勞動檢查機構或中央主管機關指定之代行檢查機構檢查合格，不得使用；其使用超過規定期間者，非經再檢查合格，不得繼續使用。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25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本法第十八條第一項及第二項所稱有立即發生危險之虞時，指勞工處於需採取緊急應變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或立即避難之下列情形之一：</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一、自設備洩漏大量危害性化學品，致有發生爆炸、火災或中毒等危險之虞時。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二、從事河川工程、河堤、海堤或圍堰等作業，因強風、大雨或地震，致有發生危險之虞時。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三、從事隧道等營建工程或管溝、沉箱、沉筒、井筒等之開挖作業，因落磐、出水、崩塌或流砂侵入等，致有發生危險之虞時。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四、於作業場所有易燃液體之蒸氣或可燃性氣體滯留，達爆炸下限值之百分之三十以上，致有發生爆炸、火災危險之虞時。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五、於儲槽等內部或通風不充分之室內作業場所，致有發生中毒或窒息危險之虞時。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六、從事缺氧危險作業，致有發生缺氧危險之虞時。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七、於高度二公尺以上作業，未設置防墜設施及未使勞工使用適當之個人防護具，致有發生墜落危險之虞時。</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八、於道路或鄰接道路從事作業，未採取管制措施及未設置安全防護設施，致有發生危險之虞時。</w:t>
            </w:r>
          </w:p>
          <w:p>
            <w:pPr>
              <w:numPr>
                <w:ilvl w:val="0"/>
                <w:numId w:val="3"/>
              </w:numPr>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其他經中央主管機關指定公告有發生危險之虞時之情形。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有立即發生危險之虞時，指勞工處於需採取緊急應變或立即避難之下列情形之一：</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一、自設備洩漏大量危害性化學品，致有發生爆炸、火災或中毒等危險之虞時。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二、從事河川工程、河堤、海堤或圍堰等作業，因強風、大雨或地震，致有發生危險之虞時。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三、從事隧道等營建工程或管溝、沉箱、沉筒、井筒等之開挖作業，因落磐、出水、崩塌或流砂侵入等，致有發生危險之虞時。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四、於作業場所有易燃液體之蒸氣或可燃性氣體滯留，達爆炸下限值之百分之三十以上，致有發生爆炸、火災危險之虞時。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五、於儲槽等內部或通風不充分之室內作業場所，致有發生中毒或窒息危險之虞時。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六、從事缺氧危險作業，致有發生缺氧危險之虞時。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七、於高度二公尺以上作業，未設置防墜設施及未使勞工使用適當之個人防護具，致有發生墜落危險之虞時。</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八、於道路或鄰接道路從事作業，未採取管制措施及未設置安全防護設施，致有發生危險之虞時。</w:t>
            </w:r>
          </w:p>
          <w:p>
            <w:pPr>
              <w:numPr>
                <w:ilvl w:val="0"/>
                <w:numId w:val="0"/>
              </w:numPr>
              <w:ind w:left="0" w:leftChars="0" w:firstLine="0" w:firstLineChars="0"/>
              <w:rPr>
                <w:rFonts w:hint="eastAsia" w:ascii="標楷體" w:hAnsi="標楷體" w:eastAsia="標楷體" w:cs="標楷體"/>
                <w:b/>
                <w:bCs/>
                <w:color w:val="2F5597" w:themeColor="accent5" w:themeShade="BF"/>
                <w:sz w:val="24"/>
                <w:szCs w:val="24"/>
                <w:lang w:eastAsia="zh-TW"/>
              </w:rPr>
            </w:pPr>
            <w:r>
              <w:rPr>
                <w:rFonts w:hint="eastAsia" w:ascii="標楷體" w:hAnsi="標楷體" w:eastAsia="標楷體" w:cs="標楷體"/>
                <w:b/>
                <w:bCs/>
                <w:color w:val="2F5597" w:themeColor="accent5" w:themeShade="BF"/>
                <w:sz w:val="24"/>
                <w:szCs w:val="24"/>
                <w:lang w:eastAsia="zh-TW"/>
              </w:rPr>
              <w:t>九、</w:t>
            </w:r>
            <w:r>
              <w:rPr>
                <w:rFonts w:hint="eastAsia" w:ascii="標楷體" w:hAnsi="標楷體" w:eastAsia="標楷體" w:cs="標楷體"/>
                <w:b/>
                <w:bCs/>
                <w:color w:val="2F5597" w:themeColor="accent5" w:themeShade="BF"/>
                <w:sz w:val="24"/>
                <w:szCs w:val="24"/>
              </w:rPr>
              <w:t>其他經中央主管機關指定公告有發生危險之虞時之情形。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lang w:eastAsia="zh-TW"/>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18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工作場所有立即發生危險之虞時，雇主或工作場所負責人應即令停止作業，並使勞工退避至安全場所。</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勞工執行職務發現有立即發生危險之虞時，得在不危及其他工作者安全情形下，自行停止作業及退避至安全場所，並立即向直屬主管報告。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26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本法第十八條第三項及第三十九條第四項所稱其他不利之處分，指直接或間接損害勞工依法令、契約或習慣上所應享有權益之措施。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所稱其他不利之處分</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指直接或間接損害勞工依法令、契約或習慣上所應享有權益之措施。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18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雇主不得對前項勞工予以解僱、調職、不給付停止作業期間工資或其他不利之處分。但雇主證明勞工濫用停止作業權，經報主管機關認定，並符合勞動法令規定者，不在此限。</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39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雇主不得對第一項申訴之工作者予以解僱、調職或其他不利之處分。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27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本法第二十條第一項所稱體格檢查，指於僱用勞工時，為識別勞工工作適性，考量其是否有不適合作業之疾病所實施之身體檢查。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本法第二十條第一項所稱在職勞工應施行之健康檢查如下：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一、一般健康檢查：指雇主對在職勞工，為發現健康有無異常，以提供適當健康指導、適性配工等健康管理措施，依其年齡於一定期間或變更其工作時所實施者。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二、特殊健康檢查：指對從事特別危害健康作業之勞工，為發現健康有無異常，以提供適當健康指導、適性配工及實施分級管理等健康管理措施，依其作業危害性，於一定期間或變更其工作時所實施者。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三、特定對象及特定項目之健康檢查：指對可能為罹患職業病之高風險群勞工，或基於疑似職業病及本土流行病學調查之需要，經中央主管機關指定公告，要求其雇主對特定勞工施行必要項目之臨時性檢查。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體格檢查</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指於僱用勞工時，為識別勞工工作適性，考量其是否有不適合作業之疾病所實施之身體檢查。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在職勞工應施行之健康檢查如下：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一、一般健康檢查：指雇主對在職勞工，為發現健康有無異常，以提供適當健康指導、適性配工等健康管理措施，依其年齡於一定期間或變更其工作時所實施者。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二、特殊健康檢查：指對從事特別危害健康作業之勞工，為發現健康有無異常，以提供適當健康指導、適性配工及實施分級管理等健康管理措施，依其作業危害性，於一定期間或變更其工作時所實施者。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三、特定對象及特定項目之健康檢查：指對可能為罹患職業病之高風險群勞工，或基於疑似職業病及本土流行病學調查之需要，經中央主管機關指定公告，要求其雇主對特定勞工施行必要項目之臨時性檢查。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20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雇主於僱用勞工時，應施行體格檢查；對在職勞工應施行下列健康檢查：</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一、一般健康檢查。</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二、從事特別危害健康作業者之特殊健康檢查。</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三、經中央主管機關指定為特定對象及特定項目之健康檢查。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28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本法第二十條第一項第二款所稱特別危害健康作業，指下列作業：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一、高溫作業。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二、噪音作業。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三、游離輻射作業。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四、異常氣壓作業。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五、鉛作業。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六、四烷基鉛作業。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七、粉塵作業。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八、有機溶劑作業，經中央主管機關指定者。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九、製造、處置或使用特定化學物質之作業，經中央主管機關指定者。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十、黃磷之製造、處置或使用作業。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十一、聯啶或巴拉刈之製造作業。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十二、其他經中央主管機關指定公告之作業。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特別危害健康作業，指下列作業：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一、高溫作業。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二、噪音作業。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三、游離輻射作業。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四、異常氣壓作業。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五、鉛作業。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六、四烷基鉛作業。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七、粉塵作業。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八、有機溶劑作業，經中央主管機關指定者。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九、製造、處置或使用特定化學物質之作業，經中央主管機關指定者。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十、黃磷之製造、處置或使用作業。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十一、聯啶或巴拉刈之製造作業。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十二、其他經中央主管機關指定公告之作業。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20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雇主於僱用勞工時，應施行體格檢查；對在職勞工應施行下列健康檢查：</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二、從事特別危害健康作業者之特殊健康檢查。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29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本法第二十條第六項所稱勞工有接受檢查之義務，指勞工應依雇主安排於符合本法規定之醫療機構接受體格及健康檢查。</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勞工自行於其他符合規定之醫療機構接受相當種類及項目之檢查，並將檢查結果提供予雇主者，視為已接受本法第二十條第一項之檢查。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勞工有接受檢查之義務</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指勞工應依雇主安排於符合本法規定之醫療機構接受體格及健康檢查。勞工自行於其他符合規定之醫療機構接受相當種類及項目之檢查，並將檢查結果提供予雇主者，視為已接受本法第二十條第一項之檢查。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4472C4" w:themeColor="accent5"/>
                <w:sz w:val="24"/>
                <w:szCs w:val="24"/>
                <w:lang w:val="en-US" w:eastAsia="zh-TW"/>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20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雇主於僱用勞工時，應施行體格檢查；對在職勞工應施行下列健康檢查：</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一、一般健康檢查。</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6 </w:t>
            </w:r>
            <w:r>
              <w:rPr>
                <w:rFonts w:hint="eastAsia" w:ascii="標楷體" w:hAnsi="標楷體" w:eastAsia="標楷體" w:cs="標楷體"/>
                <w:b/>
                <w:bCs/>
                <w:color w:val="000000"/>
                <w:sz w:val="22"/>
              </w:rPr>
              <w:t>勞工對於第一項之檢查，有接受之義務。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30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事業單位依本法第二十二條規定僱用或特約醫護人員者，雇主應使其保存與管理勞工體格及健康檢查、健康指導、健康管理措施及健康服務等資料。</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雇主、醫護人員於保存及管理勞工醫療之個人資料時，應遵守本法及個人資料保護法等相關規定。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僱用或特約醫護人員者</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雇主應使其保存與管理勞工體格及健康檢查、健康指導、健康管理措施及健康服務等資料。</w:t>
            </w:r>
          </w:p>
          <w:p>
            <w:pPr>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雇主、醫護人員於保存及管理勞工醫療之個人資料時，應遵守本法及個人資料保護法等相關規定。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i/>
                <w:color w:val="4472C4" w:themeColor="accent5"/>
                <w:sz w:val="24"/>
                <w:szCs w:val="24"/>
                <w14:textFill>
                  <w14:solidFill>
                    <w14:schemeClr w14:val="accent5"/>
                  </w14:solidFill>
                </w14:textFill>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22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事業單位勞工人數在五十人以上者，應僱用或特約醫護人員，辦理健康管理、職業病預防及健康促進等勞工健康保護事項。</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前項職業病預防事項應配合第二十三條之安全衛生人員辦理之。</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3 </w:t>
            </w:r>
            <w:r>
              <w:rPr>
                <w:rFonts w:hint="eastAsia" w:ascii="標楷體" w:hAnsi="標楷體" w:eastAsia="標楷體" w:cs="標楷體"/>
                <w:b/>
                <w:bCs/>
                <w:color w:val="000000"/>
                <w:sz w:val="22"/>
              </w:rPr>
              <w:t>第一項事業單位之適用日期，中央主管機關得依規模、性質分階段公告。</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4 </w:t>
            </w:r>
            <w:r>
              <w:rPr>
                <w:rFonts w:hint="eastAsia" w:ascii="標楷體" w:hAnsi="標楷體" w:eastAsia="標楷體" w:cs="標楷體"/>
                <w:b/>
                <w:bCs/>
                <w:color w:val="000000"/>
                <w:sz w:val="22"/>
              </w:rPr>
              <w:t>第一項有關從事勞工健康服務之醫護人員資格、勞工健康保護及其他應遵行事項之規則，由中央主管機關定之。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本法第二十三條第一項所定職業安全衛生管理計畫，包括下列事項：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一、工作環境或作業危害之辨識、評估及控制。</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二、機械、設備或器具之管理。</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三、危害性化學品之分類、標示、通識及管理。</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四、有害作業環境之採樣策略規劃及監測。</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五、危險性工作場所之製程或施工安全評估。</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六、採購管理、承攬管理及變更管理。</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七、安全衛生作業標準。</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八、定期檢查、重點檢查、作業檢點及現場巡視。</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九、安全衛生教育訓練。</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十、個人防護具之管理。</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十一、健康檢查、管理及促進。</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十二、安全衛生資訊之蒐集、分享及運用。</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十三、緊急應變措施。</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十四、職業災害、虛驚事故、影響身心健康事件之調查處理及統計分析。</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十五、安全衛生管理紀錄及績效評估措施。</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十六、其他安全衛生管理措施。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職業安全衛生管理計畫，包括下列事項：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一、工作環境或作業危害之辨識、評估及控制。</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二、機械、設備或器具之管理。</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三、危害性化學品之分類、標示、通識及管理。</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四、有害作業環境之採樣策略規劃及監測。</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五、危險性工作場所之製程或施工安全評估。</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六、採購管理、承攬管理及變更管理。</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七、安全衛生作業標準。</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八、定期檢查、重點檢查、作業檢點及現場巡視。</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九、安全衛生教育訓練。</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十、個人防護具之管理。</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十一、健康檢查、管理及促進。</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十二、安全衛生資訊之蒐集、分享及運用。</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十三、緊急應變措施。</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十四、職業災害、虛驚事故、影響身心健康事件之調查處理及統計分析。</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十五、安全衛生管理紀錄及績效評估措施。</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十六、其他安全衛生管理措施。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32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本法第二十三條第一項所定安全衛生組織，包括下列組織：</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一、職業安全衛生管理單位：為事業單位內擬訂、規劃、推動及督導職業安全衛生有關業務之組織。</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二、職業安全衛生委員會：為事業單位內審議、協調及建議職業安全衛生有關業務之組織。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所定安全衛生組織，包括下列組織：</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一、職業安全衛生管理單位：為事業單位內擬訂、規劃、推動及督導職業安全衛生有關業務之組織。</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二、職業安全衛生委員會：為事業單位內審議、協調及建議職業安全衛生有關業務之組織。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33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本法第二十三條第一項所稱安全衛生人員，指事業單位內擬訂、規劃及推動安全衛生管理業務者，包括下列人員：</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一、職業安全衛生業務主管。</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二、職業安全管理師。</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三、職業衛生管理師。</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四、職業安全衛生管理員。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所稱安全衛生人員，指事業單位內擬訂、規劃及推動安全衛生管理業務者，包括下列人員：</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一、職業安全衛生業務主管。</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二、職業安全管理師。</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三、職業衛生管理師。</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四、職業安全衛生管理員。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34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本法第二十三條第一項所定安全衛生管理，由雇主或對事業具管理權限之雇主代理人綜理，並由事業單位內各級主管依職權指揮、監督所屬人員執行。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所定安全衛生管理</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由雇主或對事業具管理權限之雇主代理人綜理，並由事業單位內各級主管依職權指揮、監督所屬人員執行。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35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本法第二十三條第二項所稱職業安全衛生管理系統，指事業單位依其規模、性質，建立包括規劃、實施、評估及改善措施之系統化管理體制。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所稱職業安全衛生管理系統</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指事業單位依其規模、性質，建立包括規劃、實施、評估及改善措施之系統化管理體制。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23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雇主應依其事業單位之規模、性質，訂定職業安全衛生管理計畫；並設置安全衛生組織、人員，實施安全衛生管理及自動檢查。</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前項之事業單位達一定規模以上或有第十五條第一項所定之工作場所者，應建置職業安全衛生管理系統。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36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本法第二十六條第一項規定之事前告知，應以書面為之，或召開協商會議並作成紀錄。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之事前告知</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應以書面為之，或召開協商會議並作成紀錄。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26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事業單位以其事業之全部或一部分交付承攬時，應於事前告知該承攬人有關其事業工作環境、危害因素暨本法及有關安全衛生規定應採取之措施。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37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本法第二十七條所稱共同作業，指事業單位與承攬人、再承攬人所僱用之勞工於同一期間、同一工作場所從事工作。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共同作業</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指事業單位與承攬人、再承攬人所僱用之勞工於同一期間、同一工作場所從事工作。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27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事業單位與承攬人、再承攬人分別僱用勞工共同作業時，為防止職業災害，原事業單位應採取下列必要措施：</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一、設置協議組織，並指定工作場所負責人，擔任指揮、監督及協調之工作。</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二、工作之連繫與調整。</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三、工作場所之巡視。</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四、相關承攬事業間之安全衛生教育之指導及協助。</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五、其他為防止職業災害之必要事項。</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2 </w:t>
            </w:r>
            <w:r>
              <w:rPr>
                <w:rFonts w:hint="eastAsia" w:ascii="標楷體" w:hAnsi="標楷體" w:eastAsia="標楷體" w:cs="標楷體"/>
                <w:b/>
                <w:bCs/>
                <w:color w:val="000000"/>
                <w:sz w:val="22"/>
              </w:rPr>
              <w:t>事業單位分別交付二個以上承攬人共同作業而未參與共同作業時，應指定承攬人之一負前項原事業單位之責任。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38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本法第二十七條第一項第一款規定之協議組織，應由原事業單位召集之，並定期或不定期進行協議下列事項：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一、安全衛生管理之實施及配合。</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二、勞工作業安全衛生及健康管理規範。</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三、從事動火、高架、開挖、爆破、高壓電活線等危險作業之管制。</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四、對進入局限空間、危險物及有害物作業等作業環境之作業管制。</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五、機械、設備及器具等入場管制。</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六、作業人員進場管制。</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七、變更管理。</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八、劃一危險性機械之操作信號、工作場所標識（示）、有害物空容器放置、警報、緊急避難方法及訓練等。</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使用打樁機、拔樁機、電動機械、電動器具、軌道裝置、乙炔熔接裝置、氧乙炔熔接裝置、電弧熔接裝置、換氣裝置及沉箱、架設通道、上下設備、施工架、工作架台等機械、設備或構造物時，應協調使用上之安全措施。</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十、其他認有必要之協調事項。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協議組織，應由原事業單位召集之，並定期或不定期進行協議下列事項：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一、安全衛生管理之實施及配合。</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二、勞工作業安全衛生及健康管理規範。</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三、從事動火、高架、開挖、爆破、高壓電活線等危險作業之管制。</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四、對進入局限空間、危險物及有害物作業等作業環境之作業管制。</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五、機械、設備及器具等入場管制。</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六、作業人員進場管制。</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七、變更管理。</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八、劃一危險性機械之操作信號、工作場所標識（示）、有害物空容器放置、警報、緊急避難方法及訓練等。</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使用打樁機、拔樁機、電動機械、電動器具、軌道裝置、乙炔熔接裝置、氧乙炔熔接裝置、電弧熔接裝置、換氣裝置及沉箱、架設通道、上下設備、施工架、工作架台等機械、設備或構造物時，應協調使用上之安全措施。</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十、其他認有必要之協調事項。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27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事業單位與承攬人、再承攬人分別僱用勞工共同作業時，為防止職業災害，原事業單位應採取下列必要措施：</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color w:val="000000"/>
                <w:sz w:val="22"/>
              </w:rPr>
              <w:t>一、設置協議組織，並指定工作場所負責人，擔任指揮、監督及協調之工作。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39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本法第三十一條第一項所稱有母性健康危害之虞之工作，指其從事可能影響胚胎發育、妊娠或哺乳期間之母體及幼兒健康之下列工作：</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一、工作暴露於具有依國家標準 CNS15030 分類，屬生殖毒性物質、生殖細胞致突變性物質或其他對哺乳功能有不良影響之化學品者。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二、勞工個人工作型態易造成妊娠或分娩後哺乳期間，產生健康危害影響之工作，包括勞工作業姿勢、人力提舉、搬運、推拉重物、輪班及工作負荷等工作型態，致產生健康危害影響者。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所稱有母性健康危害之虞之工作</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指其從事可能影響胚胎發育、妊娠或哺乳期間之母體及幼兒健康之下列工作：</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一、工作暴露於具有依國家標準 CNS15030 分類，屬生殖毒性物質、生殖細胞致突變性物質或其他對哺乳功能有不良影響之化學品者。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二、勞工個人工作型態易造成妊娠或分娩後哺乳期間，產生健康危害影響之工作，包括勞工作業姿勢、人力提舉、搬運、推拉重物、輪班及工作負荷等工作型態，致產生健康危害影響者。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三、其他經中央主管機關指定公告者。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31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中央主管機關指定之事業，雇主應對有母性健康危害之虞之工作，採取危害評估、控制及分級管理措施；對於妊娠中或分娩後未滿一年之女性勞工，應依醫師適性評估建議，採取工作調整或更換等健康保護措施，並留存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40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雇主依本法第三十三條規定宣導本法及有關安全衛生規定時，得以教育、公告、分發印刷品、集會報告、電子郵件、網際網路或其他足使勞工周知之方式為之。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宣導本法及有關安全衛生規定時</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得以教育、公告、分發印刷品、集會報告、電子郵件、網際網路或其他足使勞工周知之方式為之。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sz w:val="24"/>
              </w:rPr>
            </w:pPr>
            <w:r>
              <w:rPr>
                <w:rFonts w:hint="eastAsia" w:ascii="標楷體" w:hAnsi="標楷體" w:eastAsia="標楷體" w:cs="標楷體"/>
                <w:b/>
                <w:bCs/>
                <w:sz w:val="24"/>
              </w:rPr>
              <w:t>第 33 條</w:t>
            </w:r>
          </w:p>
          <w:p>
            <w:pPr>
              <w:spacing w:beforeLines="0" w:afterLines="0"/>
              <w:jc w:val="left"/>
              <w:rPr>
                <w:rFonts w:hint="eastAsia" w:ascii="標楷體" w:hAnsi="標楷體" w:eastAsia="標楷體" w:cs="標楷體"/>
                <w:b/>
                <w:bCs/>
                <w:sz w:val="22"/>
              </w:rPr>
            </w:pPr>
            <w:r>
              <w:rPr>
                <w:rFonts w:hint="eastAsia" w:ascii="標楷體" w:hAnsi="標楷體" w:eastAsia="標楷體" w:cs="標楷體"/>
                <w:b/>
                <w:bCs/>
                <w:sz w:val="22"/>
              </w:rPr>
              <w:t>雇主應負責宣導本法及有關安全衛生之規定，使勞工周知。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本法第三十四條第一項所定安全衛生工作守則之內容，依下列事項定之：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一、事業之安全衛生管理及各級之權責。</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二、機械、設備或器具之維護及檢查。</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三、工作安全及衛生標準。</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四、教育及訓練。</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五、健康指導及管理措施。</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六、急救及搶救。</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七、防護設備之準備、維持及使用。</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八、事故通報及報告。</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九、其他有關安全衛生事項。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安全衛生工作守則之內容，依下列事項定之：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一、事業之安全衛生管理及各級之權責。</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二、機械、設備或器具之維護及檢查。</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三、工作安全及衛生標準。</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四、教育及訓練。</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五、健康指導及管理措施。</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六、急救及搶救。</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七、防護設備之準備、維持及使用。</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八、事故通報及報告。</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九、其他有關安全衛生事項。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000000" w:themeColor="text1"/>
                <w:sz w:val="22"/>
                <w:lang w:val="en-US"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34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雇主應依本法及有關規定會同勞工代表訂定適合其需要之安全衛生工作守則，報經勞動檢查機構備查後，公告實施。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42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前條</w:t>
            </w:r>
            <w:r>
              <w:rPr>
                <w:rFonts w:hint="eastAsia" w:ascii="標楷體" w:hAnsi="標楷體" w:eastAsia="標楷體" w:cs="標楷體"/>
                <w:b/>
                <w:bCs/>
                <w:color w:val="C00000"/>
                <w:sz w:val="24"/>
                <w:szCs w:val="24"/>
                <w:lang w:val="en-US" w:eastAsia="zh-TW"/>
              </w:rPr>
              <w:t>(指的是施行細則第41條)</w:t>
            </w:r>
            <w:r>
              <w:rPr>
                <w:rFonts w:hint="eastAsia" w:ascii="標楷體" w:hAnsi="標楷體" w:eastAsia="標楷體" w:cs="標楷體"/>
                <w:b/>
                <w:bCs/>
                <w:color w:val="C00000"/>
                <w:sz w:val="24"/>
                <w:szCs w:val="24"/>
              </w:rPr>
              <w:t>之安全衛生工作守則，得依事業單位之實際需要，訂定適用於全部或一部分事業，並得依工作性質、規模分別訂定，報請勞動檢查機構備查。</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事業單位訂定之安全衛生工作守則，其適用區域跨二以上勞動檢查機構轄區時，應報請中央主管機關指定之勞動檢查機構備查。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numPr>
                <w:ilvl w:val="0"/>
                <w:numId w:val="4"/>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安全衛生工作守則，得依事業單位之實際需要，訂定適用於全部或一部分事業，並得依工作性質、規模分別訂定，報請勞動檢查機構備查。</w:t>
            </w:r>
          </w:p>
          <w:p>
            <w:pPr>
              <w:numPr>
                <w:ilvl w:val="0"/>
                <w:numId w:val="4"/>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事業單位訂定之安全衛生工作守則，其適用區域跨二以上勞動檢查機構轄區時，應報請中央主管機關指定之勞動檢查機構備查。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43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本法第三十四條第一項、第三十七條第一項所定之勞工代表，事業單位設有工會者，由工會推派之；無工會組織而有勞資會議者，由勞方代表推選之；無工會組織且無勞資會議者，由勞工共同推選之。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所定之勞工代表</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事業單位設有工會者，由工會推派之；無工會組織而有勞資會議者，由勞方代表推選之；無工會組織且無勞資會議者，由勞工共同推選之。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spacing w:beforeLines="0" w:afterLines="0"/>
              <w:jc w:val="left"/>
              <w:rPr>
                <w:rFonts w:hint="eastAsia" w:ascii="標楷體" w:hAnsi="標楷體" w:eastAsia="標楷體" w:cs="標楷體"/>
                <w:b/>
                <w:bCs/>
                <w:color w:val="000000"/>
                <w:sz w:val="22"/>
                <w:lang w:eastAsia="zh-TW"/>
              </w:rPr>
            </w:pPr>
            <w:r>
              <w:rPr>
                <w:rFonts w:hint="eastAsia" w:ascii="標楷體" w:hAnsi="標楷體" w:eastAsia="標楷體" w:cs="標楷體"/>
                <w:b/>
                <w:bCs/>
                <w:color w:val="000000"/>
                <w:sz w:val="22"/>
                <w:lang w:eastAsia="zh-TW"/>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34 條</w:t>
            </w:r>
          </w:p>
          <w:p>
            <w:pPr>
              <w:spacing w:beforeLines="0" w:afterLines="0"/>
              <w:jc w:val="left"/>
              <w:rPr>
                <w:rFonts w:hint="eastAsia" w:ascii="標楷體" w:hAnsi="標楷體" w:eastAsia="標楷體" w:cs="標楷體"/>
                <w:b/>
                <w:bCs/>
                <w:color w:val="000000"/>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雇主應依本法及有關規定會同勞工代表訂定適合其需要之安全衛生工作守則，報經勞動檢查機構備查後，公告實施。</w:t>
            </w:r>
          </w:p>
          <w:p>
            <w:pPr>
              <w:spacing w:beforeLines="0" w:afterLines="0"/>
              <w:jc w:val="left"/>
              <w:rPr>
                <w:rFonts w:hint="eastAsia" w:ascii="標楷體" w:hAnsi="標楷體" w:eastAsia="標楷體" w:cs="標楷體"/>
                <w:b/>
                <w:bCs/>
                <w:color w:val="000000"/>
                <w:sz w:val="24"/>
              </w:rPr>
            </w:pPr>
            <w:r>
              <w:rPr>
                <w:rFonts w:hint="eastAsia" w:ascii="標楷體" w:hAnsi="標楷體" w:eastAsia="標楷體" w:cs="標楷體"/>
                <w:b/>
                <w:bCs/>
                <w:color w:val="000000"/>
                <w:sz w:val="24"/>
              </w:rPr>
              <w:t>第 37 條</w:t>
            </w:r>
          </w:p>
          <w:p>
            <w:pPr>
              <w:spacing w:beforeLines="0" w:afterLines="0"/>
              <w:jc w:val="left"/>
              <w:rPr>
                <w:rFonts w:hint="eastAsia" w:ascii="標楷體" w:hAnsi="標楷體" w:eastAsia="標楷體" w:cs="標楷體"/>
                <w:b/>
                <w:bCs/>
                <w:i/>
                <w:color w:val="818181"/>
                <w:sz w:val="22"/>
              </w:rPr>
            </w:pPr>
            <w:r>
              <w:rPr>
                <w:rFonts w:hint="eastAsia" w:ascii="標楷體" w:hAnsi="標楷體" w:eastAsia="標楷體" w:cs="標楷體"/>
                <w:b/>
                <w:bCs/>
                <w:i/>
                <w:color w:val="818181"/>
                <w:sz w:val="22"/>
              </w:rPr>
              <w:t xml:space="preserve">1 </w:t>
            </w:r>
            <w:r>
              <w:rPr>
                <w:rFonts w:hint="eastAsia" w:ascii="標楷體" w:hAnsi="標楷體" w:eastAsia="標楷體" w:cs="標楷體"/>
                <w:b/>
                <w:bCs/>
                <w:color w:val="000000"/>
                <w:sz w:val="22"/>
              </w:rPr>
              <w:t>事業單位工作場所發生職業災害，雇主應即採取必要之急救、搶救等措施，並會同勞工代表實施調查、分析及作成紀錄。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44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中央主管機關或勞動檢查機構為執行職業安全衛生監督及檢查，於必要時，得要求代行檢查機構或代行檢查人員，提出相關報告、紀錄、帳冊、文件或說明。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中央主管機關或勞動檢查機構為執行職業安全衛生監督及檢查，於必要時，得要求代行檢查機構或代行檢查人員，提出相關報告、紀錄、帳冊、文件或說明。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45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本法第三十五條所定職業安全衛生諮詢會，置委員九人至十五人，任期二年，由中央主管機關就勞工團體、雇主團體、職業災害勞工團體、有關機關代表及安全衛生學者專家遴聘之。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職業安全衛生諮詢會</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置委員九人至十五人，任期二年，由中央主管機關就勞工團體、雇主團體、職業災害勞工團體、有關機關代表及安全衛生學者專家遴聘之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spacing w:beforeLines="0" w:afterLines="0"/>
              <w:jc w:val="left"/>
              <w:rPr>
                <w:rFonts w:hint="eastAsia" w:ascii="標楷體" w:hAnsi="標楷體" w:eastAsia="標楷體" w:cs="標楷體"/>
                <w:b/>
                <w:bCs/>
                <w:color w:val="000000" w:themeColor="text1"/>
                <w:sz w:val="24"/>
                <w:szCs w:val="24"/>
                <w:lang w:eastAsia="zh-TW"/>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35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中央主管機關得聘請勞方、資方、政府機關代表、學者專家及職業災害勞工團體，召開職業安全衛生諮詢會，研議國家職業安全衛生政策，並提出建議；其成員之任一性別不得少於三分之一。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46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勞動檢查機構依本法第三十六條第一項規定實施安全衛生檢查、通知限期改善或停工之程序，應依勞動檢查法相關規定辦理。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實施安全衛生檢查、通知限期改善或停工之程序，應依勞動檢查法相關規定辦理。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36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中央主管機關及勞動檢查機構對於各事業單位勞動場所得實施檢查。其有不合規定者，應告知違反法令條款，並通知限期改善；屆期未改善或已發生職業災害，或有發生職業災害之虞時，得通知其部分或全部停工。勞工於停工期間應由雇主照給工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46-1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本法第三十七條第一項所定雇主應即採取必要之急救、搶救等措施，包含下列事項：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一、緊急應變措施，並確認工作場所所有勞工之安全。</w:t>
            </w:r>
          </w:p>
          <w:p>
            <w:pPr>
              <w:numPr>
                <w:ilvl w:val="0"/>
                <w:numId w:val="0"/>
              </w:numPr>
              <w:ind w:left="0" w:leftChars="0" w:firstLine="0" w:firstLineChars="0"/>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二、使有立即發生危險之虞之勞工，退避至安全場所。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雇主應即採取必要之急救、搶救等措施，包含下列事項：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一、緊急應變措施，並確認工作場所所有勞工之安全。</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二、使有立即發生危險之虞之勞工，退避至安全場所。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1 </w:t>
            </w:r>
            <w:r>
              <w:rPr>
                <w:rFonts w:hint="eastAsia" w:ascii="標楷體" w:hAnsi="標楷體" w:eastAsia="標楷體" w:cs="標楷體"/>
                <w:b/>
                <w:bCs/>
                <w:color w:val="000000" w:themeColor="text1"/>
                <w:sz w:val="22"/>
                <w14:textFill>
                  <w14:solidFill>
                    <w14:schemeClr w14:val="tx1"/>
                  </w14:solidFill>
                </w14:textFill>
              </w:rPr>
              <w:t>事業單位工作場所發生職業災害，雇主應即採取必要之急救、搶救等措施，並會同勞工代表實施調查、分析及作成紀錄。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47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三十七條第二項規定雇主應於八小時內通報勞動檢查機構，所稱雇主，指罹災勞工之雇主或受工作場所負責人指揮監督從事勞動之罹災工作者工作場所之雇主；所稱應於八小時內通報勞動檢查機構，指事業單位明知或可得而知已發生規定之職業災害事實起八小時內，應向其事業單位所在轄區之勞動檢查機構通報。</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雇主因緊急應變或災害搶救而委託其他雇主或自然人，依規定向其所在轄區之勞動檢查機構通報者，視為已依本法第三十七條第二項規定通報。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numPr>
                <w:ilvl w:val="0"/>
                <w:numId w:val="5"/>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雇主應於八小時內通報勞動檢查機構，</w:t>
            </w:r>
          </w:p>
          <w:p>
            <w:pPr>
              <w:numPr>
                <w:ilvl w:val="0"/>
                <w:numId w:val="5"/>
              </w:num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所稱雇主</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指罹災勞工之雇主或受工作場所負責人指揮監督從事勞動之罹災工作者工作場所之雇主；</w:t>
            </w:r>
          </w:p>
          <w:p>
            <w:pPr>
              <w:numPr>
                <w:ilvl w:val="0"/>
                <w:numId w:val="5"/>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所稱應於八小時內通報勞動檢查機構</w:t>
            </w:r>
            <w:r>
              <w:rPr>
                <w:rFonts w:hint="eastAsia" w:ascii="標楷體" w:hAnsi="標楷體" w:eastAsia="標楷體" w:cs="標楷體"/>
                <w:b/>
                <w:bCs/>
                <w:color w:val="2F5597" w:themeColor="accent5" w:themeShade="BF"/>
                <w:sz w:val="24"/>
                <w:szCs w:val="24"/>
                <w:lang w:val="en-US" w:eastAsia="zh-TW"/>
              </w:rPr>
              <w:t>:</w:t>
            </w:r>
            <w:r>
              <w:rPr>
                <w:rFonts w:hint="eastAsia" w:ascii="標楷體" w:hAnsi="標楷體" w:eastAsia="標楷體" w:cs="標楷體"/>
                <w:b/>
                <w:bCs/>
                <w:color w:val="2F5597" w:themeColor="accent5" w:themeShade="BF"/>
                <w:sz w:val="24"/>
                <w:szCs w:val="24"/>
              </w:rPr>
              <w:t>指事業單位明知或可得而知已發生規定之職業災害事實起八小時內，應向其事業單位所在轄區之勞動檢查機構通報。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事業單位勞動場所發生下列職業災害之一者，雇主應於八小時內通報勞動檢查機構：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一、發生死亡災害。</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二、發生災害之罹災人數在三人以上。</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三、發生災害之罹災人數在一人以上，且需住院治療。</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四、其他經中央主管機關指定公告之災害。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48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本法第三十七條第二項第二款所稱發生災害之罹災人數在三人以上者，指於勞動場所同一災害發生工作者永久全失能、永久部分失能及暫時全失能之總人數達三人以上者。</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本法第三十七條第二項第三款所稱發生災害之罹災人數在一人以上，且需住院治療者，指於勞動場所發生工作者罹災在一人以上，且經醫療機構診斷需住院治療者。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lang w:val="en-US" w:eastAsia="zh-TW"/>
              </w:rPr>
              <w:t>1.</w:t>
            </w:r>
            <w:r>
              <w:rPr>
                <w:rFonts w:hint="eastAsia" w:ascii="標楷體" w:hAnsi="標楷體" w:eastAsia="標楷體" w:cs="標楷體"/>
                <w:b/>
                <w:bCs/>
                <w:color w:val="2F5597" w:themeColor="accent5" w:themeShade="BF"/>
                <w:sz w:val="24"/>
                <w:szCs w:val="24"/>
              </w:rPr>
              <w:t>發生災害之罹災人數在三人以上者，指於勞動場所同一災害發生工作者永久全失能、永久部分失能及暫時全失能之總人數達三人以上者。</w:t>
            </w:r>
          </w:p>
          <w:p>
            <w:pPr>
              <w:spacing w:beforeLines="0" w:afterLines="0"/>
              <w:jc w:val="left"/>
              <w:rPr>
                <w:rFonts w:hint="eastAsia" w:ascii="標楷體" w:hAnsi="標楷體" w:eastAsia="標楷體" w:cs="標楷體"/>
                <w:b/>
                <w:bCs/>
                <w:color w:val="2F5597" w:themeColor="accent5" w:themeShade="BF"/>
                <w:sz w:val="24"/>
                <w:szCs w:val="24"/>
                <w:lang w:val="en-US" w:eastAsia="zh-TW"/>
              </w:rPr>
            </w:pPr>
            <w:r>
              <w:rPr>
                <w:rFonts w:hint="eastAsia" w:ascii="標楷體" w:hAnsi="標楷體" w:eastAsia="標楷體" w:cs="標楷體"/>
                <w:b/>
                <w:bCs/>
                <w:color w:val="2F5597" w:themeColor="accent5" w:themeShade="BF"/>
                <w:sz w:val="24"/>
                <w:szCs w:val="24"/>
                <w:lang w:val="en-US" w:eastAsia="zh-TW"/>
              </w:rPr>
              <w:t>2.</w:t>
            </w:r>
            <w:r>
              <w:rPr>
                <w:rFonts w:hint="eastAsia" w:ascii="標楷體" w:hAnsi="標楷體" w:eastAsia="標楷體" w:cs="標楷體"/>
                <w:b/>
                <w:bCs/>
                <w:color w:val="2F5597" w:themeColor="accent5" w:themeShade="BF"/>
                <w:sz w:val="24"/>
                <w:szCs w:val="24"/>
              </w:rPr>
              <w:t>發生災害之罹災人數在一人以上，且需住院治療者，指於勞動場所發生工作者罹災在一人以上，且經醫療機構診斷需住院治療者。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4"/>
                <w:szCs w:val="24"/>
                <w:lang w:val="en-US" w:eastAsia="zh-TW"/>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事業單位勞動場所發生下列職業災害之一者，雇主應於八小時內通報勞動檢查機構：</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二、發生災害之罹災人數在三人以上。</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三、發生災害之罹災人數在一人以上，且需住院治療。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49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勞動檢查機構應依本法第三十七條第三項規定，派員對事業單位工作場所發生死亡或重傷之災害，實施檢查，並調查災害原因及責任歸屬。但其他法律已有火災、爆炸、礦災、空難、海難、震災、毒性化學物質災害、輻射事故及陸上交通事故之相關檢查、調查或鑑定機制者，不在此限。</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前項所稱重傷之災害，指造成罹災者肢體或器官嚴重受損，危及生命或造成其身體機能嚴重喪失，且須住院治療連續達二十四小時以上之災害者。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numPr>
                <w:ilvl w:val="0"/>
                <w:numId w:val="6"/>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派員對事業單位工作場所發生死亡或重傷之災害，實施檢查，並調查災害原因及責任歸屬。但其他法律已有火災、爆炸、礦災、空難、海難、震災、毒性化學物質災害、輻射事故及陸上交通事故之相關檢查、調查或鑑定機制者，不在此限。</w:t>
            </w:r>
          </w:p>
          <w:p>
            <w:pPr>
              <w:numPr>
                <w:ilvl w:val="0"/>
                <w:numId w:val="6"/>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重傷之災害，指造成罹災者肢體或器官嚴重受損，危及生命或造成其身體機能嚴重喪失，且須住院治療連續達二十四小時以上之災害者。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3 </w:t>
            </w:r>
            <w:r>
              <w:rPr>
                <w:rFonts w:hint="eastAsia" w:ascii="標楷體" w:hAnsi="標楷體" w:eastAsia="標楷體" w:cs="標楷體"/>
                <w:b/>
                <w:bCs/>
                <w:color w:val="000000" w:themeColor="text1"/>
                <w:sz w:val="22"/>
                <w14:textFill>
                  <w14:solidFill>
                    <w14:schemeClr w14:val="tx1"/>
                  </w14:solidFill>
                </w14:textFill>
              </w:rPr>
              <w:t>勞動檢查機構接獲前項報告後，應就工作場所發生死亡或重傷之災害派員檢查。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50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本法第三十七條第四項所稱雇主，指災害發生現場所有事業單位之雇主；所稱現場，指造成災害之機械、設備、器具、原料、材料等相關物件及其作業場所。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numPr>
                <w:ilvl w:val="0"/>
                <w:numId w:val="7"/>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雇主，指災害發生現場所有事業單位之雇主</w:t>
            </w:r>
          </w:p>
          <w:p>
            <w:pPr>
              <w:numPr>
                <w:ilvl w:val="0"/>
                <w:numId w:val="7"/>
              </w:num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現場，指造成災害之機械、設備、器具、原料、材料等相關物件及其作業場所。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37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4 </w:t>
            </w:r>
            <w:r>
              <w:rPr>
                <w:rFonts w:hint="eastAsia" w:ascii="標楷體" w:hAnsi="標楷體" w:eastAsia="標楷體" w:cs="標楷體"/>
                <w:b/>
                <w:bCs/>
                <w:color w:val="000000" w:themeColor="text1"/>
                <w:sz w:val="22"/>
                <w14:textFill>
                  <w14:solidFill>
                    <w14:schemeClr w14:val="tx1"/>
                  </w14:solidFill>
                </w14:textFill>
              </w:rPr>
              <w:t>事業單位發生第二項之災害，除必要之急救、搶救外，雇主非經司法機關或勞動檢查機構許可，不得移動或破壞現場。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51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本法第三十八條所稱中央主管機關指定之事業如下：</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一、勞工人數在五十人以上之事業。</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二、勞工人數未滿五十人之事業，經中央主管機關指定，並由勞動檢查機構函知者。</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前項第二款之指定，中央主管機關得委任或委託勞動檢查機構為之。</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3 </w:t>
            </w:r>
            <w:r>
              <w:rPr>
                <w:rFonts w:hint="eastAsia" w:ascii="標楷體" w:hAnsi="標楷體" w:eastAsia="標楷體" w:cs="標楷體"/>
                <w:b/>
                <w:bCs/>
                <w:color w:val="C00000"/>
                <w:sz w:val="24"/>
                <w:szCs w:val="24"/>
              </w:rPr>
              <w:t>雇主依本法第三十八條規定填載職業災害內容及統計之格式，由中央主管機關定之。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所稱中央主管機關指定之事業如下：</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一、勞工人數在五十人以上之事業。</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二、勞工人數未滿五十人之事業，經中央主管機關指定，並由勞動檢查機構函知者。</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前項第二款之指定，中央主管機關得委任或委託勞動檢查機構為之。</w:t>
            </w:r>
          </w:p>
          <w:p>
            <w:pPr>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3 </w:t>
            </w:r>
            <w:r>
              <w:rPr>
                <w:rFonts w:hint="eastAsia" w:ascii="標楷體" w:hAnsi="標楷體" w:eastAsia="標楷體" w:cs="標楷體"/>
                <w:b/>
                <w:bCs/>
                <w:color w:val="2F5597" w:themeColor="accent5" w:themeShade="BF"/>
                <w:sz w:val="24"/>
                <w:szCs w:val="24"/>
              </w:rPr>
              <w:t>雇主依本法第三十八條規定填載職業災害內容及統計之格式，由中央主管機關定之。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i/>
                <w:color w:val="000000" w:themeColor="text1"/>
                <w:sz w:val="24"/>
                <w:szCs w:val="24"/>
                <w14:textFill>
                  <w14:solidFill>
                    <w14:schemeClr w14:val="tx1"/>
                  </w14:solidFill>
                </w14:textFill>
              </w:rPr>
            </w:pPr>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38 條</w:t>
            </w:r>
          </w:p>
          <w:p>
            <w:pPr>
              <w:spacing w:beforeLines="0" w:afterLines="0"/>
              <w:jc w:val="left"/>
              <w:rPr>
                <w:rFonts w:hint="eastAsia" w:ascii="標楷體" w:hAnsi="標楷體" w:eastAsia="標楷體" w:cs="標楷體"/>
                <w:b/>
                <w:bCs/>
                <w:color w:val="000000" w:themeColor="text1"/>
                <w:sz w:val="22"/>
                <w14:textFill>
                  <w14:solidFill>
                    <w14:schemeClr w14:val="tx1"/>
                  </w14:solidFill>
                </w14:textFill>
              </w:rPr>
            </w:pPr>
            <w:r>
              <w:rPr>
                <w:rFonts w:hint="eastAsia" w:ascii="標楷體" w:hAnsi="標楷體" w:eastAsia="標楷體" w:cs="標楷體"/>
                <w:b/>
                <w:bCs/>
                <w:color w:val="000000" w:themeColor="text1"/>
                <w:sz w:val="22"/>
                <w14:textFill>
                  <w14:solidFill>
                    <w14:schemeClr w14:val="tx1"/>
                  </w14:solidFill>
                </w14:textFill>
              </w:rPr>
              <w:t>中央主管機關指定之事業，雇主應依規定填載職業災害內容及統計，按月報請勞動檢查機構備查，並公布於工作場所。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52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勞工因雇主違反本法規定致發生職業災害所提起之訴訟，得向中央主管機關申請扶助。</w:t>
            </w:r>
          </w:p>
          <w:p>
            <w:pPr>
              <w:spacing w:beforeLines="0" w:afterLines="0"/>
              <w:jc w:val="left"/>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前項扶助業務，中央主管機關得委託民間團體辦理。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721" w:type="dxa"/>
            <w:vAlign w:val="top"/>
          </w:tcPr>
          <w:p>
            <w:pPr>
              <w:spacing w:beforeLines="0" w:afterLines="0"/>
              <w:jc w:val="left"/>
              <w:rPr>
                <w:rFonts w:hint="eastAsia" w:ascii="標楷體" w:hAnsi="標楷體" w:eastAsia="標楷體" w:cs="標楷體"/>
                <w:b/>
                <w:bCs/>
                <w:color w:val="2F5597" w:themeColor="accent5" w:themeShade="BF"/>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1 </w:t>
            </w:r>
            <w:r>
              <w:rPr>
                <w:rFonts w:hint="eastAsia" w:ascii="標楷體" w:hAnsi="標楷體" w:eastAsia="標楷體" w:cs="標楷體"/>
                <w:b/>
                <w:bCs/>
                <w:color w:val="2F5597" w:themeColor="accent5" w:themeShade="BF"/>
                <w:sz w:val="24"/>
                <w:szCs w:val="24"/>
              </w:rPr>
              <w:t>勞工因雇主違反本法規定致發生職業災害所提起之訴訟，得向中央主管機關申請扶助。</w:t>
            </w:r>
          </w:p>
          <w:p>
            <w:pPr>
              <w:spacing w:beforeLines="0" w:afterLines="0"/>
              <w:jc w:val="left"/>
              <w:rPr>
                <w:rFonts w:hint="eastAsia" w:ascii="標楷體" w:hAnsi="標楷體" w:eastAsia="標楷體" w:cs="標楷體"/>
                <w:b/>
                <w:bCs/>
                <w:i/>
                <w:color w:val="2F5597" w:themeColor="accent5" w:themeShade="BF"/>
                <w:sz w:val="24"/>
                <w:szCs w:val="24"/>
              </w:rPr>
            </w:pPr>
            <w:r>
              <w:rPr>
                <w:rFonts w:hint="eastAsia" w:ascii="標楷體" w:hAnsi="標楷體" w:eastAsia="標楷體" w:cs="標楷體"/>
                <w:b/>
                <w:bCs/>
                <w:i/>
                <w:color w:val="2F5597" w:themeColor="accent5" w:themeShade="BF"/>
                <w:sz w:val="24"/>
                <w:szCs w:val="24"/>
              </w:rPr>
              <w:t xml:space="preserve">2 </w:t>
            </w:r>
            <w:r>
              <w:rPr>
                <w:rFonts w:hint="eastAsia" w:ascii="標楷體" w:hAnsi="標楷體" w:eastAsia="標楷體" w:cs="標楷體"/>
                <w:b/>
                <w:bCs/>
                <w:color w:val="2F5597" w:themeColor="accent5" w:themeShade="BF"/>
                <w:sz w:val="24"/>
                <w:szCs w:val="24"/>
              </w:rPr>
              <w:t>前項扶助業務，中央主管機關得委託民間團體辦理。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53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本法第五十條第二項所定直轄市與縣（市）主管機關及各目的事業主管機關應依有關法令規定，配合國家職業安全衛生政策，積極推動包括下列事項之職業安全衛生業務：</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一、策略及規劃。</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二、法制。</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三、執行。</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四、督導。</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五、檢討分析。</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六、其他安全衛生促進活動。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vAlign w:val="top"/>
          </w:tcPr>
          <w:p>
            <w:pPr>
              <w:spacing w:beforeLines="0" w:afterLines="0"/>
              <w:jc w:val="left"/>
              <w:rPr>
                <w:rFonts w:hint="eastAsia" w:ascii="標楷體" w:hAnsi="標楷體" w:eastAsia="標楷體" w:cs="標楷體"/>
                <w:b/>
                <w:bCs/>
                <w:color w:val="C00000"/>
                <w:sz w:val="24"/>
                <w:szCs w:val="24"/>
                <w:vertAlign w:val="baseline"/>
              </w:rPr>
            </w:pPr>
            <w:r>
              <w:rPr>
                <w:rFonts w:hint="eastAsia" w:ascii="標楷體" w:hAnsi="標楷體" w:eastAsia="標楷體" w:cs="標楷體"/>
                <w:b/>
                <w:bCs/>
                <w:color w:val="2F5597" w:themeColor="accent5" w:themeShade="BF"/>
                <w:sz w:val="24"/>
                <w:szCs w:val="24"/>
                <w:vertAlign w:val="baseline"/>
                <w:lang w:eastAsia="zh-TW"/>
              </w:rPr>
              <w:t>解說</w:t>
            </w:r>
          </w:p>
        </w:tc>
        <w:tc>
          <w:tcPr>
            <w:tcW w:w="11219" w:type="dxa"/>
            <w:gridSpan w:val="2"/>
            <w:vAlign w:val="top"/>
          </w:tcPr>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配合國家職業安全衛生政策，積極推動包括下列事項之職業安全衛生業務：</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一、策略及規劃。</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二、法制。</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三、執行。</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四、督導。</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五、檢討分析。</w:t>
            </w:r>
          </w:p>
          <w:p>
            <w:pPr>
              <w:spacing w:beforeLines="0" w:afterLines="0"/>
              <w:jc w:val="left"/>
              <w:rPr>
                <w:rFonts w:hint="eastAsia" w:ascii="標楷體" w:hAnsi="標楷體" w:eastAsia="標楷體" w:cs="標楷體"/>
                <w:b/>
                <w:bCs/>
                <w:color w:val="2F5597" w:themeColor="accent5" w:themeShade="BF"/>
                <w:sz w:val="24"/>
                <w:szCs w:val="24"/>
              </w:rPr>
            </w:pPr>
            <w:r>
              <w:rPr>
                <w:rFonts w:hint="eastAsia" w:ascii="標楷體" w:hAnsi="標楷體" w:eastAsia="標楷體" w:cs="標楷體"/>
                <w:b/>
                <w:bCs/>
                <w:color w:val="2F5597" w:themeColor="accent5" w:themeShade="BF"/>
                <w:sz w:val="24"/>
                <w:szCs w:val="24"/>
              </w:rPr>
              <w:t>六、其他安全衛生促進活動。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spacing w:beforeLines="0" w:afterLines="0"/>
              <w:jc w:val="left"/>
              <w:rPr>
                <w:rFonts w:hint="eastAsia" w:ascii="標楷體" w:hAnsi="標楷體" w:eastAsia="標楷體" w:cs="標楷體"/>
                <w:b/>
                <w:bCs/>
                <w:color w:val="000000" w:themeColor="text1"/>
                <w:sz w:val="24"/>
                <w:szCs w:val="24"/>
                <w:lang w:eastAsia="zh-TW"/>
                <w14:textFill>
                  <w14:solidFill>
                    <w14:schemeClr w14:val="tx1"/>
                  </w14:solidFill>
                </w14:textFill>
              </w:rPr>
            </w:pPr>
            <w:bookmarkStart w:id="0" w:name="_GoBack" w:colFirst="0" w:colLast="2"/>
            <w:r>
              <w:rPr>
                <w:rFonts w:hint="eastAsia" w:ascii="標楷體" w:hAnsi="標楷體" w:eastAsia="標楷體" w:cs="標楷體"/>
                <w:b/>
                <w:bCs/>
                <w:color w:val="000000" w:themeColor="text1"/>
                <w:sz w:val="24"/>
                <w:szCs w:val="24"/>
                <w:lang w:eastAsia="zh-TW"/>
                <w14:textFill>
                  <w14:solidFill>
                    <w14:schemeClr w14:val="tx1"/>
                  </w14:solidFill>
                </w14:textFill>
              </w:rPr>
              <w:t>職業安全衛生法</w:t>
            </w:r>
          </w:p>
        </w:tc>
        <w:tc>
          <w:tcPr>
            <w:tcW w:w="11219" w:type="dxa"/>
            <w:gridSpan w:val="2"/>
            <w:vAlign w:val="top"/>
          </w:tcPr>
          <w:p>
            <w:pPr>
              <w:spacing w:beforeLines="0" w:afterLines="0"/>
              <w:jc w:val="left"/>
              <w:rPr>
                <w:rFonts w:hint="eastAsia" w:ascii="標楷體" w:hAnsi="標楷體" w:eastAsia="標楷體" w:cs="標楷體"/>
                <w:b/>
                <w:bCs/>
                <w:color w:val="000000" w:themeColor="text1"/>
                <w:sz w:val="24"/>
                <w14:textFill>
                  <w14:solidFill>
                    <w14:schemeClr w14:val="tx1"/>
                  </w14:solidFill>
                </w14:textFill>
              </w:rPr>
            </w:pPr>
            <w:r>
              <w:rPr>
                <w:rFonts w:hint="eastAsia" w:ascii="標楷體" w:hAnsi="標楷體" w:eastAsia="標楷體" w:cs="標楷體"/>
                <w:b/>
                <w:bCs/>
                <w:color w:val="000000" w:themeColor="text1"/>
                <w:sz w:val="24"/>
                <w14:textFill>
                  <w14:solidFill>
                    <w14:schemeClr w14:val="tx1"/>
                  </w14:solidFill>
                </w14:textFill>
              </w:rPr>
              <w:t>第 50 條</w:t>
            </w:r>
          </w:p>
          <w:p>
            <w:pPr>
              <w:spacing w:beforeLines="0" w:afterLines="0"/>
              <w:jc w:val="left"/>
              <w:rPr>
                <w:rFonts w:hint="eastAsia" w:ascii="標楷體" w:hAnsi="標楷體" w:eastAsia="標楷體" w:cs="標楷體"/>
                <w:b/>
                <w:bCs/>
                <w:i/>
                <w:color w:val="000000" w:themeColor="text1"/>
                <w:sz w:val="22"/>
                <w14:textFill>
                  <w14:solidFill>
                    <w14:schemeClr w14:val="tx1"/>
                  </w14:solidFill>
                </w14:textFill>
              </w:rPr>
            </w:pPr>
            <w:r>
              <w:rPr>
                <w:rFonts w:hint="eastAsia" w:ascii="標楷體" w:hAnsi="標楷體" w:eastAsia="標楷體" w:cs="標楷體"/>
                <w:b/>
                <w:bCs/>
                <w:i/>
                <w:color w:val="000000" w:themeColor="text1"/>
                <w:sz w:val="22"/>
                <w14:textFill>
                  <w14:solidFill>
                    <w14:schemeClr w14:val="tx1"/>
                  </w14:solidFill>
                </w14:textFill>
              </w:rPr>
              <w:t xml:space="preserve">2 </w:t>
            </w:r>
            <w:r>
              <w:rPr>
                <w:rFonts w:hint="eastAsia" w:ascii="標楷體" w:hAnsi="標楷體" w:eastAsia="標楷體" w:cs="標楷體"/>
                <w:b/>
                <w:bCs/>
                <w:color w:val="000000" w:themeColor="text1"/>
                <w:sz w:val="22"/>
                <w14:textFill>
                  <w14:solidFill>
                    <w14:schemeClr w14:val="tx1"/>
                  </w14:solidFill>
                </w14:textFill>
              </w:rPr>
              <w:t>直轄市與縣（市）主管機關及各目的事業主管機關應積極推動職業安全衛生業務；中央主管機關得訂定績效評核及獎勵辦法。</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721" w:type="dxa"/>
          </w:tcPr>
          <w:p>
            <w:pPr>
              <w:numPr>
                <w:ilvl w:val="0"/>
                <w:numId w:val="0"/>
              </w:numPr>
              <w:rPr>
                <w:rFonts w:hint="eastAsia" w:ascii="標楷體" w:hAnsi="標楷體" w:eastAsia="標楷體" w:cs="標楷體"/>
                <w:b/>
                <w:bCs/>
                <w:color w:val="C00000"/>
                <w:sz w:val="24"/>
                <w:szCs w:val="24"/>
                <w:vertAlign w:val="baseline"/>
                <w:lang w:eastAsia="zh-TW"/>
              </w:rPr>
            </w:pPr>
            <w:r>
              <w:rPr>
                <w:rFonts w:hint="eastAsia" w:ascii="標楷體" w:hAnsi="標楷體" w:eastAsia="標楷體" w:cs="標楷體"/>
                <w:b/>
                <w:bCs/>
                <w:color w:val="C00000"/>
                <w:sz w:val="24"/>
                <w:szCs w:val="24"/>
                <w:vertAlign w:val="baseline"/>
                <w:lang w:eastAsia="zh-TW"/>
              </w:rPr>
              <w:t>施行細則</w:t>
            </w:r>
          </w:p>
        </w:tc>
        <w:tc>
          <w:tcPr>
            <w:tcW w:w="11219" w:type="dxa"/>
            <w:gridSpan w:val="2"/>
            <w:vAlign w:val="top"/>
          </w:tcPr>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color w:val="C00000"/>
                <w:sz w:val="24"/>
                <w:szCs w:val="24"/>
              </w:rPr>
              <w:t>第 54 條</w:t>
            </w:r>
          </w:p>
          <w:p>
            <w:pPr>
              <w:spacing w:beforeLines="0" w:afterLines="0"/>
              <w:jc w:val="left"/>
              <w:rPr>
                <w:rFonts w:hint="eastAsia" w:ascii="標楷體" w:hAnsi="標楷體" w:eastAsia="標楷體" w:cs="標楷體"/>
                <w:b/>
                <w:bCs/>
                <w:color w:val="C00000"/>
                <w:sz w:val="24"/>
                <w:szCs w:val="24"/>
              </w:rPr>
            </w:pPr>
            <w:r>
              <w:rPr>
                <w:rFonts w:hint="eastAsia" w:ascii="標楷體" w:hAnsi="標楷體" w:eastAsia="標楷體" w:cs="標楷體"/>
                <w:b/>
                <w:bCs/>
                <w:i/>
                <w:color w:val="C00000"/>
                <w:sz w:val="24"/>
                <w:szCs w:val="24"/>
              </w:rPr>
              <w:t xml:space="preserve">1 </w:t>
            </w:r>
            <w:r>
              <w:rPr>
                <w:rFonts w:hint="eastAsia" w:ascii="標楷體" w:hAnsi="標楷體" w:eastAsia="標楷體" w:cs="標楷體"/>
                <w:b/>
                <w:bCs/>
                <w:color w:val="C00000"/>
                <w:sz w:val="24"/>
                <w:szCs w:val="24"/>
              </w:rPr>
              <w:t>本細則自中華民國一百零三年七月三日施行。</w:t>
            </w:r>
          </w:p>
          <w:p>
            <w:pPr>
              <w:numPr>
                <w:ilvl w:val="0"/>
                <w:numId w:val="0"/>
              </w:numPr>
              <w:ind w:left="0" w:leftChars="0" w:firstLine="0" w:firstLineChars="0"/>
              <w:rPr>
                <w:rFonts w:hint="eastAsia" w:ascii="標楷體" w:hAnsi="標楷體" w:eastAsia="標楷體" w:cs="標楷體"/>
                <w:b/>
                <w:bCs/>
                <w:i/>
                <w:color w:val="C00000"/>
                <w:sz w:val="24"/>
                <w:szCs w:val="24"/>
              </w:rPr>
            </w:pPr>
            <w:r>
              <w:rPr>
                <w:rFonts w:hint="eastAsia" w:ascii="標楷體" w:hAnsi="標楷體" w:eastAsia="標楷體" w:cs="標楷體"/>
                <w:b/>
                <w:bCs/>
                <w:i/>
                <w:color w:val="C00000"/>
                <w:sz w:val="24"/>
                <w:szCs w:val="24"/>
              </w:rPr>
              <w:t xml:space="preserve">2 </w:t>
            </w:r>
            <w:r>
              <w:rPr>
                <w:rFonts w:hint="eastAsia" w:ascii="標楷體" w:hAnsi="標楷體" w:eastAsia="標楷體" w:cs="標楷體"/>
                <w:b/>
                <w:bCs/>
                <w:color w:val="C00000"/>
                <w:sz w:val="24"/>
                <w:szCs w:val="24"/>
              </w:rPr>
              <w:t>本細則修正條文，自中華民國一百零九年三月一日施行。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1940" w:type="dxa"/>
            <w:gridSpan w:val="3"/>
          </w:tcPr>
          <w:p>
            <w:pPr>
              <w:spacing w:beforeLines="0" w:afterLines="0"/>
              <w:jc w:val="left"/>
              <w:rPr>
                <w:rFonts w:hint="eastAsia" w:ascii="標楷體" w:hAnsi="標楷體" w:eastAsia="標楷體" w:cs="標楷體"/>
                <w:b/>
                <w:bCs/>
                <w:color w:val="C00000"/>
                <w:sz w:val="24"/>
                <w:szCs w:val="24"/>
                <w:vertAlign w:val="baseline"/>
              </w:rPr>
            </w:pPr>
          </w:p>
        </w:tc>
      </w:tr>
    </w:tbl>
    <w:p>
      <w:pPr>
        <w:spacing w:beforeLines="0" w:afterLines="0"/>
        <w:jc w:val="left"/>
        <w:rPr>
          <w:rFonts w:hint="eastAsia" w:ascii="標楷體" w:hAnsi="標楷體" w:eastAsia="標楷體" w:cs="標楷體"/>
          <w:color w:val="C00000"/>
          <w:sz w:val="24"/>
          <w:szCs w:val="24"/>
        </w:rPr>
      </w:pPr>
    </w:p>
    <w:p>
      <w:pPr>
        <w:spacing w:beforeLines="0" w:afterLines="0"/>
        <w:jc w:val="left"/>
        <w:rPr>
          <w:rFonts w:hint="eastAsia" w:ascii="標楷體" w:hAnsi="標楷體" w:eastAsia="標楷體" w:cs="標楷體"/>
          <w:color w:val="C00000"/>
          <w:sz w:val="24"/>
          <w:szCs w:val="24"/>
        </w:rPr>
      </w:pPr>
    </w:p>
    <w:sectPr>
      <w:pgSz w:w="12240" w:h="15840" w:orient="landscape"/>
      <w:pgMar w:top="113" w:right="113" w:bottom="113" w:left="113" w:header="720" w:footer="720" w:gutter="0"/>
      <w:lnNumType w:countBy="0" w:distance="360"/>
      <w:cols w:space="72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nsolas-Italic">
    <w:altName w:val="新細明體"/>
    <w:panose1 w:val="00000000000000000000"/>
    <w:charset w:val="88"/>
    <w:family w:val="auto"/>
    <w:pitch w:val="default"/>
    <w:sig w:usb0="00000000" w:usb1="00000000" w:usb2="00000000" w:usb3="00000000" w:csb0="00100000" w:csb1="00000000"/>
  </w:font>
  <w:font w:name="標楷體">
    <w:panose1 w:val="03000509000000000000"/>
    <w:charset w:val="88"/>
    <w:family w:val="auto"/>
    <w:pitch w:val="default"/>
    <w:sig w:usb0="00000003" w:usb1="082E0000" w:usb2="00000016" w:usb3="00000000" w:csb0="00100001" w:csb1="00000000"/>
  </w:font>
  <w:font w:name="Calibri Light">
    <w:panose1 w:val="020F0302020204030204"/>
    <w:charset w:val="00"/>
    <w:family w:val="auto"/>
    <w:pitch w:val="default"/>
    <w:sig w:usb0="E4002EFF" w:usb1="C000247B" w:usb2="00000009" w:usb3="00000000" w:csb0="200001FF" w:csb1="00000000"/>
  </w:font>
  <w:font w:name="微軟正黑體">
    <w:panose1 w:val="020B0604030504040204"/>
    <w:charset w:val="88"/>
    <w:family w:val="auto"/>
    <w:pitch w:val="default"/>
    <w:sig w:usb0="000002A7" w:usb1="28CF44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B37E0"/>
    <w:multiLevelType w:val="singleLevel"/>
    <w:tmpl w:val="62EB37E0"/>
    <w:lvl w:ilvl="0" w:tentative="0">
      <w:start w:val="9"/>
      <w:numFmt w:val="chineseCounting"/>
      <w:suff w:val="nothing"/>
      <w:lvlText w:val="%1、"/>
      <w:lvlJc w:val="left"/>
    </w:lvl>
  </w:abstractNum>
  <w:abstractNum w:abstractNumId="1">
    <w:nsid w:val="62EB45A3"/>
    <w:multiLevelType w:val="singleLevel"/>
    <w:tmpl w:val="62EB45A3"/>
    <w:lvl w:ilvl="0" w:tentative="0">
      <w:start w:val="1"/>
      <w:numFmt w:val="decimal"/>
      <w:suff w:val="nothing"/>
      <w:lvlText w:val="%1."/>
      <w:lvlJc w:val="left"/>
    </w:lvl>
  </w:abstractNum>
  <w:abstractNum w:abstractNumId="2">
    <w:nsid w:val="62EB4672"/>
    <w:multiLevelType w:val="singleLevel"/>
    <w:tmpl w:val="62EB4672"/>
    <w:lvl w:ilvl="0" w:tentative="0">
      <w:start w:val="3"/>
      <w:numFmt w:val="chineseCounting"/>
      <w:suff w:val="nothing"/>
      <w:lvlText w:val="%1、"/>
      <w:lvlJc w:val="left"/>
    </w:lvl>
  </w:abstractNum>
  <w:abstractNum w:abstractNumId="3">
    <w:nsid w:val="62EB736A"/>
    <w:multiLevelType w:val="singleLevel"/>
    <w:tmpl w:val="62EB736A"/>
    <w:lvl w:ilvl="0" w:tentative="0">
      <w:start w:val="1"/>
      <w:numFmt w:val="decimal"/>
      <w:suff w:val="nothing"/>
      <w:lvlText w:val="%1."/>
      <w:lvlJc w:val="left"/>
    </w:lvl>
  </w:abstractNum>
  <w:abstractNum w:abstractNumId="4">
    <w:nsid w:val="62EB73D1"/>
    <w:multiLevelType w:val="singleLevel"/>
    <w:tmpl w:val="62EB73D1"/>
    <w:lvl w:ilvl="0" w:tentative="0">
      <w:start w:val="1"/>
      <w:numFmt w:val="decimal"/>
      <w:suff w:val="nothing"/>
      <w:lvlText w:val="%1."/>
      <w:lvlJc w:val="left"/>
    </w:lvl>
  </w:abstractNum>
  <w:abstractNum w:abstractNumId="5">
    <w:nsid w:val="62EB73F7"/>
    <w:multiLevelType w:val="singleLevel"/>
    <w:tmpl w:val="62EB73F7"/>
    <w:lvl w:ilvl="0" w:tentative="0">
      <w:start w:val="1"/>
      <w:numFmt w:val="decimal"/>
      <w:suff w:val="nothing"/>
      <w:lvlText w:val="%1."/>
      <w:lvlJc w:val="left"/>
    </w:lvl>
  </w:abstractNum>
  <w:abstractNum w:abstractNumId="6">
    <w:nsid w:val="62EB7589"/>
    <w:multiLevelType w:val="singleLevel"/>
    <w:tmpl w:val="62EB7589"/>
    <w:lvl w:ilvl="0" w:tentative="0">
      <w:start w:val="1"/>
      <w:numFmt w:val="decimal"/>
      <w:suff w:val="nothing"/>
      <w:lvlText w:val="%1."/>
      <w:lvlJc w:val="left"/>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8510D"/>
    <w:rsid w:val="00BF1753"/>
    <w:rsid w:val="03935510"/>
    <w:rsid w:val="21800DC7"/>
    <w:rsid w:val="26E06F4F"/>
    <w:rsid w:val="2EF1794F"/>
    <w:rsid w:val="3CA701A9"/>
    <w:rsid w:val="3D0D51D7"/>
    <w:rsid w:val="46A57607"/>
    <w:rsid w:val="4D765FB6"/>
    <w:rsid w:val="50FE55FC"/>
    <w:rsid w:val="76AE1140"/>
    <w:rsid w:val="788A04E0"/>
  </w:rsids>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kern w:val="2"/>
      <w:sz w:val="21"/>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2022-08-04T02:19:00Z</dcterms:created>
  <dc:creator>User</dc:creator>
  <cp:lastModifiedBy>User</cp:lastModifiedBy>
  <dcterms:modified xsi:type="dcterms:W3CDTF">2022-08-04T09:25:27Z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