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spacing w:line="360" w:lineRule="auto"/>
      </w:pPr>
      <w:r>
        <w:t>目次</w:t>
      </w:r>
    </w:p>
    <w:p>
      <w:pPr>
        <w:pStyle w:val="13"/>
        <w:rPr>
          <w:kern w:val="2"/>
          <w:szCs w:val="22"/>
        </w:rPr>
      </w:pPr>
      <w:r>
        <w:fldChar w:fldCharType="begin"/>
      </w:r>
      <w:r>
        <w:instrText xml:space="preserve"> TOC \o "1-2" \h \z \t "附件,2" </w:instrText>
      </w:r>
      <w:r>
        <w:fldChar w:fldCharType="separate"/>
      </w:r>
      <w:r>
        <w:fldChar w:fldCharType="begin"/>
      </w:r>
      <w:r>
        <w:instrText xml:space="preserve"> HYPERLINK \l "_Toc522793779" </w:instrText>
      </w:r>
      <w:r>
        <w:fldChar w:fldCharType="separate"/>
      </w:r>
      <w:r>
        <w:rPr>
          <w:rStyle w:val="18"/>
          <w:color w:val="auto"/>
          <w:u w:val="none"/>
        </w:rPr>
        <w:t>0</w:t>
      </w:r>
      <w:r>
        <w:rPr>
          <w:kern w:val="2"/>
          <w:szCs w:val="22"/>
        </w:rPr>
        <w:tab/>
      </w:r>
      <w:r>
        <w:rPr>
          <w:rStyle w:val="18"/>
          <w:color w:val="auto"/>
          <w:u w:val="none"/>
        </w:rPr>
        <w:t>目的</w:t>
      </w:r>
      <w:r>
        <w:tab/>
      </w:r>
      <w:r>
        <w:fldChar w:fldCharType="begin"/>
      </w:r>
      <w:r>
        <w:instrText xml:space="preserve"> PAGEREF _Toc522793779 \h </w:instrText>
      </w:r>
      <w:r>
        <w:fldChar w:fldCharType="separate"/>
      </w:r>
      <w:r>
        <w:t>2</w:t>
      </w:r>
      <w:r>
        <w:fldChar w:fldCharType="end"/>
      </w:r>
      <w:r>
        <w:fldChar w:fldCharType="end"/>
      </w:r>
    </w:p>
    <w:p>
      <w:pPr>
        <w:pStyle w:val="13"/>
        <w:rPr>
          <w:kern w:val="2"/>
          <w:szCs w:val="22"/>
        </w:rPr>
      </w:pPr>
      <w:r>
        <w:fldChar w:fldCharType="begin"/>
      </w:r>
      <w:r>
        <w:instrText xml:space="preserve"> HYPERLINK \l "_Toc522793780" </w:instrText>
      </w:r>
      <w:r>
        <w:fldChar w:fldCharType="separate"/>
      </w:r>
      <w:r>
        <w:rPr>
          <w:rStyle w:val="18"/>
          <w:color w:val="auto"/>
          <w:u w:val="none"/>
        </w:rPr>
        <w:t>1</w:t>
      </w:r>
      <w:r>
        <w:rPr>
          <w:kern w:val="2"/>
          <w:szCs w:val="22"/>
        </w:rPr>
        <w:tab/>
      </w:r>
      <w:r>
        <w:rPr>
          <w:rStyle w:val="18"/>
          <w:color w:val="auto"/>
          <w:u w:val="none"/>
        </w:rPr>
        <w:t>適用範圍</w:t>
      </w:r>
      <w:r>
        <w:tab/>
      </w:r>
      <w:r>
        <w:fldChar w:fldCharType="begin"/>
      </w:r>
      <w:r>
        <w:instrText xml:space="preserve"> PAGEREF _Toc522793780 \h </w:instrText>
      </w:r>
      <w:r>
        <w:fldChar w:fldCharType="separate"/>
      </w:r>
      <w:r>
        <w:t>2</w:t>
      </w:r>
      <w:r>
        <w:fldChar w:fldCharType="end"/>
      </w:r>
      <w:r>
        <w:fldChar w:fldCharType="end"/>
      </w:r>
    </w:p>
    <w:p>
      <w:pPr>
        <w:pStyle w:val="13"/>
        <w:rPr>
          <w:kern w:val="2"/>
          <w:szCs w:val="22"/>
        </w:rPr>
      </w:pPr>
      <w:r>
        <w:fldChar w:fldCharType="begin"/>
      </w:r>
      <w:r>
        <w:instrText xml:space="preserve"> HYPERLINK \l "_Toc522793783" </w:instrText>
      </w:r>
      <w:r>
        <w:fldChar w:fldCharType="separate"/>
      </w:r>
      <w:r>
        <w:rPr>
          <w:rStyle w:val="18"/>
          <w:color w:val="auto"/>
          <w:u w:val="none"/>
        </w:rPr>
        <w:t>2</w:t>
      </w:r>
      <w:r>
        <w:rPr>
          <w:kern w:val="2"/>
          <w:szCs w:val="22"/>
        </w:rPr>
        <w:tab/>
      </w:r>
      <w:r>
        <w:rPr>
          <w:rStyle w:val="18"/>
          <w:color w:val="auto"/>
          <w:u w:val="none"/>
        </w:rPr>
        <w:t>相關參考文件</w:t>
      </w:r>
      <w:r>
        <w:tab/>
      </w:r>
      <w:r>
        <w:fldChar w:fldCharType="begin"/>
      </w:r>
      <w:r>
        <w:instrText xml:space="preserve"> PAGEREF _Toc522793783 \h </w:instrText>
      </w:r>
      <w:r>
        <w:fldChar w:fldCharType="separate"/>
      </w:r>
      <w:r>
        <w:t>2</w:t>
      </w:r>
      <w:r>
        <w:fldChar w:fldCharType="end"/>
      </w:r>
      <w:r>
        <w:fldChar w:fldCharType="end"/>
      </w:r>
    </w:p>
    <w:p>
      <w:pPr>
        <w:pStyle w:val="13"/>
        <w:rPr>
          <w:kern w:val="2"/>
          <w:szCs w:val="22"/>
        </w:rPr>
      </w:pPr>
      <w:r>
        <w:fldChar w:fldCharType="begin"/>
      </w:r>
      <w:r>
        <w:instrText xml:space="preserve"> HYPERLINK \l "_Toc522793786" </w:instrText>
      </w:r>
      <w:r>
        <w:fldChar w:fldCharType="separate"/>
      </w:r>
      <w:r>
        <w:rPr>
          <w:rStyle w:val="18"/>
          <w:color w:val="auto"/>
          <w:u w:val="none"/>
        </w:rPr>
        <w:t>3</w:t>
      </w:r>
      <w:r>
        <w:rPr>
          <w:kern w:val="2"/>
          <w:szCs w:val="22"/>
        </w:rPr>
        <w:tab/>
      </w:r>
      <w:r>
        <w:rPr>
          <w:rStyle w:val="18"/>
          <w:color w:val="auto"/>
          <w:u w:val="none"/>
        </w:rPr>
        <w:t>名詞定義</w:t>
      </w:r>
      <w:r>
        <w:tab/>
      </w:r>
      <w:r>
        <w:fldChar w:fldCharType="begin"/>
      </w:r>
      <w:r>
        <w:instrText xml:space="preserve"> PAGEREF _Toc522793786 \h </w:instrText>
      </w:r>
      <w:r>
        <w:fldChar w:fldCharType="separate"/>
      </w:r>
      <w:r>
        <w:t>2</w:t>
      </w:r>
      <w:r>
        <w:fldChar w:fldCharType="end"/>
      </w:r>
      <w:r>
        <w:fldChar w:fldCharType="end"/>
      </w:r>
    </w:p>
    <w:p>
      <w:pPr>
        <w:pStyle w:val="13"/>
        <w:rPr>
          <w:kern w:val="2"/>
          <w:szCs w:val="22"/>
        </w:rPr>
      </w:pPr>
      <w:r>
        <w:fldChar w:fldCharType="begin"/>
      </w:r>
      <w:r>
        <w:instrText xml:space="preserve"> HYPERLINK \l "_Toc522793791" </w:instrText>
      </w:r>
      <w:r>
        <w:fldChar w:fldCharType="separate"/>
      </w:r>
      <w:r>
        <w:rPr>
          <w:rStyle w:val="18"/>
          <w:color w:val="auto"/>
          <w:u w:val="none"/>
        </w:rPr>
        <w:t>4</w:t>
      </w:r>
      <w:r>
        <w:rPr>
          <w:kern w:val="2"/>
          <w:szCs w:val="22"/>
        </w:rPr>
        <w:tab/>
      </w:r>
      <w:r>
        <w:rPr>
          <w:rStyle w:val="18"/>
          <w:color w:val="auto"/>
          <w:u w:val="none"/>
        </w:rPr>
        <w:t>組織背景</w:t>
      </w:r>
      <w:r>
        <w:tab/>
      </w:r>
      <w:r>
        <w:fldChar w:fldCharType="begin"/>
      </w:r>
      <w:r>
        <w:instrText xml:space="preserve"> PAGEREF _Toc522793791 \h </w:instrText>
      </w:r>
      <w:r>
        <w:fldChar w:fldCharType="separate"/>
      </w:r>
      <w:r>
        <w:t>2</w:t>
      </w:r>
      <w:r>
        <w:fldChar w:fldCharType="end"/>
      </w:r>
      <w:r>
        <w:fldChar w:fldCharType="end"/>
      </w:r>
    </w:p>
    <w:p>
      <w:pPr>
        <w:pStyle w:val="13"/>
        <w:rPr>
          <w:kern w:val="2"/>
          <w:szCs w:val="22"/>
        </w:rPr>
      </w:pPr>
      <w:r>
        <w:fldChar w:fldCharType="begin"/>
      </w:r>
      <w:r>
        <w:instrText xml:space="preserve"> HYPERLINK \l "_Toc522793796" </w:instrText>
      </w:r>
      <w:r>
        <w:fldChar w:fldCharType="separate"/>
      </w:r>
      <w:r>
        <w:rPr>
          <w:rStyle w:val="18"/>
          <w:color w:val="auto"/>
          <w:u w:val="none"/>
        </w:rPr>
        <w:t>5</w:t>
      </w:r>
      <w:r>
        <w:rPr>
          <w:kern w:val="2"/>
          <w:szCs w:val="22"/>
        </w:rPr>
        <w:tab/>
      </w:r>
      <w:r>
        <w:rPr>
          <w:rStyle w:val="18"/>
          <w:color w:val="auto"/>
          <w:u w:val="none"/>
        </w:rPr>
        <w:t>領導、工作者參與</w:t>
      </w:r>
      <w:r>
        <w:tab/>
      </w:r>
      <w:r>
        <w:fldChar w:fldCharType="begin"/>
      </w:r>
      <w:r>
        <w:instrText xml:space="preserve"> PAGEREF _Toc522793796 \h </w:instrText>
      </w:r>
      <w:r>
        <w:fldChar w:fldCharType="separate"/>
      </w:r>
      <w:r>
        <w:t>4</w:t>
      </w:r>
      <w:r>
        <w:fldChar w:fldCharType="end"/>
      </w:r>
      <w:r>
        <w:fldChar w:fldCharType="end"/>
      </w:r>
    </w:p>
    <w:p>
      <w:pPr>
        <w:pStyle w:val="13"/>
        <w:rPr>
          <w:kern w:val="2"/>
          <w:szCs w:val="22"/>
        </w:rPr>
      </w:pPr>
      <w:r>
        <w:fldChar w:fldCharType="begin"/>
      </w:r>
      <w:r>
        <w:instrText xml:space="preserve"> HYPERLINK \l "_Toc522793801" </w:instrText>
      </w:r>
      <w:r>
        <w:fldChar w:fldCharType="separate"/>
      </w:r>
      <w:r>
        <w:rPr>
          <w:rStyle w:val="18"/>
          <w:color w:val="auto"/>
          <w:u w:val="none"/>
        </w:rPr>
        <w:t>6</w:t>
      </w:r>
      <w:r>
        <w:rPr>
          <w:kern w:val="2"/>
          <w:szCs w:val="22"/>
        </w:rPr>
        <w:tab/>
      </w:r>
      <w:r>
        <w:rPr>
          <w:rStyle w:val="18"/>
          <w:color w:val="auto"/>
          <w:u w:val="none"/>
        </w:rPr>
        <w:t>規劃</w:t>
      </w:r>
      <w:r>
        <w:tab/>
      </w:r>
      <w:r>
        <w:fldChar w:fldCharType="begin"/>
      </w:r>
      <w:r>
        <w:instrText xml:space="preserve"> PAGEREF _Toc522793801 \h </w:instrText>
      </w:r>
      <w:r>
        <w:fldChar w:fldCharType="separate"/>
      </w:r>
      <w:r>
        <w:t>8</w:t>
      </w:r>
      <w:r>
        <w:fldChar w:fldCharType="end"/>
      </w:r>
      <w:r>
        <w:fldChar w:fldCharType="end"/>
      </w:r>
    </w:p>
    <w:p>
      <w:pPr>
        <w:pStyle w:val="13"/>
        <w:rPr>
          <w:kern w:val="2"/>
          <w:szCs w:val="22"/>
        </w:rPr>
      </w:pPr>
      <w:r>
        <w:fldChar w:fldCharType="begin"/>
      </w:r>
      <w:r>
        <w:instrText xml:space="preserve"> HYPERLINK \l "_Toc522793804" </w:instrText>
      </w:r>
      <w:r>
        <w:fldChar w:fldCharType="separate"/>
      </w:r>
      <w:r>
        <w:rPr>
          <w:rStyle w:val="18"/>
          <w:color w:val="auto"/>
          <w:u w:val="none"/>
        </w:rPr>
        <w:t>7</w:t>
      </w:r>
      <w:r>
        <w:rPr>
          <w:kern w:val="2"/>
          <w:szCs w:val="22"/>
        </w:rPr>
        <w:tab/>
      </w:r>
      <w:r>
        <w:rPr>
          <w:rStyle w:val="18"/>
          <w:color w:val="auto"/>
          <w:u w:val="none"/>
        </w:rPr>
        <w:t>支持</w:t>
      </w:r>
      <w:r>
        <w:tab/>
      </w:r>
      <w:r>
        <w:fldChar w:fldCharType="begin"/>
      </w:r>
      <w:r>
        <w:instrText xml:space="preserve"> PAGEREF _Toc522793804 \h </w:instrText>
      </w:r>
      <w:r>
        <w:fldChar w:fldCharType="separate"/>
      </w:r>
      <w:r>
        <w:t>13</w:t>
      </w:r>
      <w:r>
        <w:fldChar w:fldCharType="end"/>
      </w:r>
      <w:r>
        <w:fldChar w:fldCharType="end"/>
      </w:r>
    </w:p>
    <w:p>
      <w:pPr>
        <w:pStyle w:val="13"/>
        <w:rPr>
          <w:kern w:val="2"/>
          <w:szCs w:val="22"/>
        </w:rPr>
      </w:pPr>
      <w:r>
        <w:fldChar w:fldCharType="begin"/>
      </w:r>
      <w:r>
        <w:instrText xml:space="preserve"> HYPERLINK \l "_Toc522793810" </w:instrText>
      </w:r>
      <w:r>
        <w:fldChar w:fldCharType="separate"/>
      </w:r>
      <w:r>
        <w:rPr>
          <w:rStyle w:val="18"/>
          <w:color w:val="auto"/>
          <w:u w:val="none"/>
        </w:rPr>
        <w:t>8</w:t>
      </w:r>
      <w:r>
        <w:rPr>
          <w:kern w:val="2"/>
          <w:szCs w:val="22"/>
        </w:rPr>
        <w:tab/>
      </w:r>
      <w:r>
        <w:rPr>
          <w:rStyle w:val="18"/>
          <w:color w:val="auto"/>
          <w:u w:val="none"/>
        </w:rPr>
        <w:t>運作</w:t>
      </w:r>
      <w:r>
        <w:tab/>
      </w:r>
      <w:r>
        <w:fldChar w:fldCharType="begin"/>
      </w:r>
      <w:r>
        <w:instrText xml:space="preserve"> PAGEREF _Toc522793810 \h </w:instrText>
      </w:r>
      <w:r>
        <w:fldChar w:fldCharType="separate"/>
      </w:r>
      <w:r>
        <w:t>17</w:t>
      </w:r>
      <w:r>
        <w:fldChar w:fldCharType="end"/>
      </w:r>
      <w:r>
        <w:fldChar w:fldCharType="end"/>
      </w:r>
    </w:p>
    <w:p>
      <w:pPr>
        <w:pStyle w:val="13"/>
        <w:rPr>
          <w:kern w:val="2"/>
          <w:szCs w:val="22"/>
        </w:rPr>
      </w:pPr>
      <w:r>
        <w:fldChar w:fldCharType="begin"/>
      </w:r>
      <w:r>
        <w:instrText xml:space="preserve"> HYPERLINK \l "_Toc522793811" </w:instrText>
      </w:r>
      <w:r>
        <w:fldChar w:fldCharType="separate"/>
      </w:r>
      <w:r>
        <w:rPr>
          <w:rStyle w:val="18"/>
          <w:color w:val="auto"/>
          <w:u w:val="none"/>
        </w:rPr>
        <w:t>9</w:t>
      </w:r>
      <w:r>
        <w:rPr>
          <w:kern w:val="2"/>
          <w:szCs w:val="22"/>
        </w:rPr>
        <w:tab/>
      </w:r>
      <w:r>
        <w:rPr>
          <w:rStyle w:val="18"/>
          <w:color w:val="auto"/>
          <w:u w:val="none"/>
        </w:rPr>
        <w:t>績效評估</w:t>
      </w:r>
      <w:r>
        <w:tab/>
      </w:r>
      <w:r>
        <w:fldChar w:fldCharType="begin"/>
      </w:r>
      <w:r>
        <w:instrText xml:space="preserve"> PAGEREF _Toc522793811 \h </w:instrText>
      </w:r>
      <w:r>
        <w:fldChar w:fldCharType="separate"/>
      </w:r>
      <w:r>
        <w:t>20</w:t>
      </w:r>
      <w:r>
        <w:fldChar w:fldCharType="end"/>
      </w:r>
      <w:r>
        <w:fldChar w:fldCharType="end"/>
      </w:r>
    </w:p>
    <w:p>
      <w:pPr>
        <w:pStyle w:val="13"/>
        <w:tabs>
          <w:tab w:val="left" w:pos="720"/>
        </w:tabs>
        <w:rPr>
          <w:kern w:val="2"/>
          <w:szCs w:val="22"/>
        </w:rPr>
      </w:pPr>
      <w:r>
        <w:fldChar w:fldCharType="begin"/>
      </w:r>
      <w:r>
        <w:instrText xml:space="preserve"> HYPERLINK \l "_Toc522793812" </w:instrText>
      </w:r>
      <w:r>
        <w:fldChar w:fldCharType="separate"/>
      </w:r>
      <w:r>
        <w:rPr>
          <w:rStyle w:val="18"/>
          <w:color w:val="auto"/>
          <w:u w:val="none"/>
        </w:rPr>
        <w:t>10</w:t>
      </w:r>
      <w:r>
        <w:rPr>
          <w:kern w:val="2"/>
          <w:szCs w:val="22"/>
        </w:rPr>
        <w:tab/>
      </w:r>
      <w:r>
        <w:rPr>
          <w:rStyle w:val="18"/>
          <w:color w:val="auto"/>
          <w:u w:val="none"/>
        </w:rPr>
        <w:t>改善</w:t>
      </w:r>
      <w:r>
        <w:tab/>
      </w:r>
      <w:r>
        <w:fldChar w:fldCharType="begin"/>
      </w:r>
      <w:r>
        <w:instrText xml:space="preserve"> PAGEREF _Toc522793812 \h </w:instrText>
      </w:r>
      <w:r>
        <w:fldChar w:fldCharType="separate"/>
      </w:r>
      <w:r>
        <w:t>23</w:t>
      </w:r>
      <w:r>
        <w:fldChar w:fldCharType="end"/>
      </w:r>
      <w:r>
        <w:fldChar w:fldCharType="end"/>
      </w:r>
    </w:p>
    <w:p>
      <w:pPr>
        <w:widowControl w:val="0"/>
        <w:spacing w:line="360" w:lineRule="auto"/>
      </w:pPr>
      <w:r>
        <w:fldChar w:fldCharType="end"/>
      </w:r>
    </w:p>
    <w:p>
      <w:pPr>
        <w:widowControl w:val="0"/>
        <w:spacing w:line="360" w:lineRule="auto"/>
      </w:pPr>
      <w:r>
        <w:br w:type="page"/>
      </w:r>
    </w:p>
    <w:p>
      <w:pPr>
        <w:pStyle w:val="2"/>
      </w:pPr>
      <w:bookmarkStart w:id="0" w:name="_Toc522793779"/>
      <w:r>
        <w:t>目的</w:t>
      </w:r>
      <w:bookmarkEnd w:id="0"/>
    </w:p>
    <w:p>
      <w:pPr>
        <w:pStyle w:val="22"/>
        <w:ind w:firstLine="480" w:firstLineChars="200"/>
        <w:rPr>
          <w:rFonts w:hint="eastAsia" w:eastAsia="標楷體"/>
          <w:lang w:eastAsia="zh-TW"/>
        </w:rPr>
      </w:pPr>
      <w:r>
        <w:rPr>
          <w:rFonts w:hint="eastAsia"/>
          <w:lang w:eastAsia="zh-TW"/>
        </w:rPr>
        <w:t>本公司為防止及預防防範因工作場所及機械設備和人因操作所帶來的傷害及危害</w:t>
      </w:r>
      <w:r>
        <w:rPr>
          <w:rFonts w:hint="eastAsia"/>
          <w:lang w:val="en-US" w:eastAsia="zh-TW"/>
        </w:rPr>
        <w:t>.並應建立</w:t>
      </w:r>
      <w:r>
        <w:t>、文件資訊化、實施、維持及持續改善職業安全衛生管理系統，並與公司管理</w:t>
      </w:r>
      <w:r>
        <w:rPr>
          <w:rFonts w:hint="eastAsia"/>
          <w:lang w:eastAsia="zh-TW"/>
        </w:rPr>
        <w:t>安全及宣導等相關</w:t>
      </w:r>
      <w:r>
        <w:t>活動</w:t>
      </w:r>
      <w:r>
        <w:rPr>
          <w:rFonts w:hint="eastAsia"/>
          <w:lang w:eastAsia="zh-TW"/>
        </w:rPr>
        <w:t>互</w:t>
      </w:r>
      <w:r>
        <w:t>相</w:t>
      </w:r>
      <w:r>
        <w:rPr>
          <w:rFonts w:hint="eastAsia"/>
          <w:lang w:eastAsia="zh-TW"/>
        </w:rPr>
        <w:t>配合</w:t>
      </w:r>
      <w:r>
        <w:t>整合，以期</w:t>
      </w:r>
      <w:r>
        <w:rPr>
          <w:rFonts w:hint="eastAsia"/>
          <w:lang w:eastAsia="zh-TW"/>
        </w:rPr>
        <w:t>許</w:t>
      </w:r>
      <w:r>
        <w:t>達到</w:t>
      </w:r>
      <w:r>
        <w:rPr>
          <w:rFonts w:hint="eastAsia"/>
          <w:lang w:eastAsia="zh-TW"/>
        </w:rPr>
        <w:t>工作上的安全及衛生的績效</w:t>
      </w:r>
      <w:r>
        <w:t>，</w:t>
      </w:r>
      <w:r>
        <w:rPr>
          <w:rFonts w:hint="eastAsia"/>
          <w:lang w:eastAsia="zh-TW"/>
        </w:rPr>
        <w:t>也以員工本身的安全及健康為範圍而執行，</w:t>
      </w:r>
      <w:r>
        <w:t>強化公司內部體質、永續經營之目的</w:t>
      </w:r>
      <w:r>
        <w:rPr>
          <w:rFonts w:hint="eastAsia"/>
          <w:lang w:eastAsia="zh-TW"/>
        </w:rPr>
        <w:t>。</w:t>
      </w:r>
    </w:p>
    <w:p>
      <w:pPr>
        <w:pStyle w:val="2"/>
      </w:pPr>
      <w:bookmarkStart w:id="1" w:name="_Toc522793780"/>
      <w:r>
        <w:t>適用範圍</w:t>
      </w:r>
      <w:bookmarkEnd w:id="1"/>
    </w:p>
    <w:p>
      <w:pPr>
        <w:pStyle w:val="3"/>
      </w:pPr>
      <w:bookmarkStart w:id="2" w:name="_Toc266791587"/>
      <w:bookmarkEnd w:id="2"/>
      <w:bookmarkStart w:id="3" w:name="_Toc522793781"/>
      <w:r>
        <w:rPr>
          <w:rFonts w:hint="eastAsia"/>
          <w:lang w:eastAsia="zh-TW"/>
        </w:rPr>
        <w:t>本手冊依照職業安全衛生法、職業安全衛施行細則、職業安全衛生設施規則、職業安全衛生管理辦法、職業安全衛生教育訓練、鍋爐及壓力容器安全規則、勞工健康保護規則、危險性機械及設備安全檢查規則、既有危險性機械及設備安全檢查規則、機械設備器具安全標準、各類場所消防安全設備設置標準、消防法、消防法施行細則、噪音管制法、噪音管制法施行細則、噪音管制標準、空氣污染防制法、空氣污染防制法施行細則、一般廢棄物回收清除處理辦法、女性勞工母性健康保護實施辦法-、未滿十八歲及女性船員從事危險性或有害性工作認定標準、危害性化學品標示及通識規則、法規-女性勞工母性健康保護實施辦法、重體力勞動作業勞工保護措施標準、粉塵危害預防標準、高溫作業勞工作息時間標準</w:t>
      </w:r>
      <w:r>
        <w:t>，明訂本公司之</w:t>
      </w:r>
      <w:r>
        <w:rPr>
          <w:rFonts w:hint="eastAsia"/>
          <w:lang w:eastAsia="zh-TW"/>
        </w:rPr>
        <w:t>經及管理各個相關部門及現場工作場所之所有事業活動過程</w:t>
      </w:r>
      <w:r>
        <w:rPr>
          <w:rFonts w:hint="eastAsia"/>
          <w:lang w:val="en-US" w:eastAsia="zh-TW"/>
        </w:rPr>
        <w:t>.，以及各項安全衛生管理流程之挸定，並積極及專責於防止事故的發生及在事故發生前或事先預防可能發生之危害之預防性措施。執行及維持和持續改善不妥及不適之工作，</w:t>
      </w:r>
      <w:r>
        <w:t>維持與持續改善職場的安全衛生與人員健康管理工作。</w:t>
      </w:r>
      <w:bookmarkEnd w:id="3"/>
    </w:p>
    <w:p>
      <w:pPr>
        <w:pStyle w:val="2"/>
      </w:pPr>
      <w:bookmarkStart w:id="4" w:name="_Toc266791588"/>
      <w:bookmarkEnd w:id="4"/>
      <w:bookmarkStart w:id="5" w:name="_Toc522793783"/>
      <w:r>
        <w:t>相關參考文件</w:t>
      </w:r>
      <w:bookmarkEnd w:id="5"/>
    </w:p>
    <w:p>
      <w:pPr>
        <w:pStyle w:val="3"/>
      </w:pPr>
      <w:bookmarkStart w:id="6" w:name="_Toc266791590"/>
      <w:bookmarkEnd w:id="6"/>
      <w:bookmarkStart w:id="7" w:name="_Toc522793784"/>
      <w:r>
        <w:t>職業安全衛生管理系統標準 ISO</w:t>
      </w:r>
      <w:bookmarkStart w:id="75" w:name="_GoBack"/>
      <w:bookmarkEnd w:id="75"/>
      <w:r>
        <w:t xml:space="preserve"> 45001：2018</w:t>
      </w:r>
      <w:bookmarkEnd w:id="7"/>
      <w:r>
        <w:rPr>
          <w:rFonts w:hint="eastAsia"/>
        </w:rPr>
        <w:t>。</w:t>
      </w:r>
    </w:p>
    <w:p>
      <w:pPr>
        <w:pStyle w:val="2"/>
      </w:pPr>
      <w:bookmarkStart w:id="8" w:name="_Toc266791591"/>
      <w:bookmarkEnd w:id="8"/>
      <w:bookmarkStart w:id="9" w:name="_Toc522793786"/>
      <w:r>
        <w:t>名詞定義</w:t>
      </w:r>
      <w:bookmarkEnd w:id="9"/>
    </w:p>
    <w:p>
      <w:pPr>
        <w:pStyle w:val="3"/>
      </w:pPr>
      <w:bookmarkStart w:id="10" w:name="_Toc266791593"/>
      <w:bookmarkEnd w:id="10"/>
      <w:bookmarkStart w:id="11" w:name="_Toc522793787"/>
      <w:r>
        <w:t>職業災害：指因勞動場所之建築物、設備、原料、材料、化學品、氣體、蒸氣、粉塵等或作業活動及其他職業上原因引起之工作者疾病、傷害、失能或死亡。</w:t>
      </w:r>
      <w:bookmarkEnd w:id="11"/>
    </w:p>
    <w:p>
      <w:pPr>
        <w:pStyle w:val="3"/>
      </w:pPr>
      <w:bookmarkStart w:id="12" w:name="_Toc268189121"/>
      <w:bookmarkStart w:id="13" w:name="_Toc265748610"/>
      <w:bookmarkStart w:id="14" w:name="_Toc265681915"/>
      <w:bookmarkStart w:id="15" w:name="_Toc269308201"/>
      <w:bookmarkStart w:id="16" w:name="_Toc268253996"/>
      <w:bookmarkStart w:id="17" w:name="_Toc276996752"/>
      <w:bookmarkStart w:id="18" w:name="_Toc268271128"/>
      <w:bookmarkStart w:id="19" w:name="_Toc522793788"/>
      <w:bookmarkStart w:id="20" w:name="_Toc409777593"/>
      <w:bookmarkStart w:id="21" w:name="_Toc409105548"/>
      <w:r>
        <w:t>危害：</w:t>
      </w:r>
      <w:bookmarkEnd w:id="12"/>
      <w:bookmarkEnd w:id="13"/>
      <w:bookmarkEnd w:id="14"/>
      <w:bookmarkEnd w:id="15"/>
      <w:bookmarkEnd w:id="16"/>
      <w:bookmarkEnd w:id="17"/>
      <w:bookmarkEnd w:id="18"/>
      <w:r>
        <w:t>係指潛在造成任何形式傷害的來源或情況，這些傷害包括受傷或與工作有關的傷病和不健康、財產的損失、工作環境的損失，或是這些後果同時發生。</w:t>
      </w:r>
      <w:bookmarkEnd w:id="19"/>
      <w:bookmarkEnd w:id="20"/>
      <w:bookmarkEnd w:id="21"/>
    </w:p>
    <w:p>
      <w:pPr>
        <w:pStyle w:val="3"/>
      </w:pPr>
      <w:bookmarkStart w:id="22" w:name="_Toc268253997"/>
      <w:bookmarkStart w:id="23" w:name="_Toc269308202"/>
      <w:bookmarkStart w:id="24" w:name="_Toc268271129"/>
      <w:bookmarkStart w:id="25" w:name="_Toc268189122"/>
      <w:bookmarkStart w:id="26" w:name="_Toc265681916"/>
      <w:bookmarkStart w:id="27" w:name="_Toc265748611"/>
      <w:bookmarkStart w:id="28" w:name="_Toc276996753"/>
      <w:bookmarkStart w:id="29" w:name="_Toc409777594"/>
      <w:bookmarkStart w:id="30" w:name="_Toc409105549"/>
      <w:bookmarkStart w:id="31" w:name="_Toc522793789"/>
      <w:r>
        <w:t>事故：</w:t>
      </w:r>
      <w:bookmarkEnd w:id="22"/>
      <w:bookmarkEnd w:id="23"/>
      <w:bookmarkEnd w:id="24"/>
      <w:bookmarkEnd w:id="25"/>
      <w:bookmarkEnd w:id="26"/>
      <w:bookmarkEnd w:id="27"/>
      <w:bookmarkEnd w:id="28"/>
      <w:r>
        <w:t>造成傷害、不健康或死亡之職安事件。</w:t>
      </w:r>
      <w:bookmarkEnd w:id="29"/>
      <w:bookmarkEnd w:id="30"/>
      <w:bookmarkEnd w:id="31"/>
    </w:p>
    <w:p>
      <w:pPr>
        <w:pStyle w:val="3"/>
      </w:pPr>
      <w:bookmarkStart w:id="32" w:name="_Toc268268624"/>
      <w:bookmarkStart w:id="33" w:name="_Toc268271130"/>
      <w:bookmarkStart w:id="34" w:name="_Toc409777595"/>
      <w:bookmarkStart w:id="35" w:name="_Toc522793790"/>
      <w:bookmarkStart w:id="36" w:name="_Toc276996754"/>
      <w:bookmarkStart w:id="37" w:name="_Toc269308203"/>
      <w:bookmarkStart w:id="38" w:name="_Toc409105550"/>
      <w:r>
        <w:t>事件：造成或可能造成傷害、不健康或死亡之工作相關情事。</w:t>
      </w:r>
      <w:bookmarkEnd w:id="32"/>
      <w:bookmarkEnd w:id="33"/>
      <w:bookmarkEnd w:id="34"/>
      <w:bookmarkEnd w:id="35"/>
      <w:bookmarkEnd w:id="36"/>
      <w:bookmarkEnd w:id="37"/>
      <w:bookmarkEnd w:id="38"/>
    </w:p>
    <w:p>
      <w:pPr>
        <w:pStyle w:val="2"/>
      </w:pPr>
      <w:bookmarkStart w:id="39" w:name="_Toc522793791"/>
      <w:r>
        <w:t>組織背景</w:t>
      </w:r>
      <w:bookmarkEnd w:id="39"/>
    </w:p>
    <w:p>
      <w:pPr>
        <w:pStyle w:val="3"/>
      </w:pPr>
      <w:bookmarkStart w:id="40" w:name="_Toc522793792"/>
      <w:r>
        <w:t>瞭解營造業和其前後背景</w:t>
      </w:r>
      <w:bookmarkEnd w:id="40"/>
    </w:p>
    <w:p>
      <w:pPr>
        <w:pStyle w:val="5"/>
      </w:pPr>
      <w:r>
        <w:t>本公司係依據「職業安全衛生管理系統」之推動需求建置，進行彙整分析，決定與其目的直接相關，且會影響營造業本體達成「職業安全衛生管理系統」預期結果之外部與內部議題。確認得以符合業者自身經營管理條件及相關法規規定之需求。</w:t>
      </w:r>
    </w:p>
    <w:p>
      <w:pPr>
        <w:pStyle w:val="5"/>
      </w:pPr>
      <w:r>
        <w:t>工務所應就工程執行之特性，提供公司管理</w:t>
      </w:r>
      <w:r>
        <w:rPr>
          <w:rFonts w:hint="eastAsia"/>
        </w:rPr>
        <w:t>單位</w:t>
      </w:r>
      <w:r>
        <w:t>辦理職業安全衛生管理系統背景審查之參考。</w:t>
      </w:r>
    </w:p>
    <w:p>
      <w:pPr>
        <w:pStyle w:val="5"/>
      </w:pPr>
      <w:r>
        <w:rPr>
          <w:szCs w:val="24"/>
        </w:rPr>
        <w:t>本公司依據</w:t>
      </w:r>
      <w:r>
        <w:t>前後背景審查結果，規劃安全衛生管理系統，以符合工程經營管理特性，並滿足法規規定要求。確實依據建立之管理系統推動各項職業安全衛生管理工作。</w:t>
      </w:r>
    </w:p>
    <w:p>
      <w:pPr>
        <w:pStyle w:val="3"/>
      </w:pPr>
      <w:bookmarkStart w:id="41" w:name="_Toc522793793"/>
      <w:r>
        <w:t>工作者及其他利害相關者的需求和期望</w:t>
      </w:r>
      <w:bookmarkEnd w:id="41"/>
    </w:p>
    <w:p>
      <w:pPr>
        <w:spacing w:line="360" w:lineRule="auto"/>
        <w:ind w:left="1140"/>
      </w:pPr>
      <w:r>
        <w:t>本公司應充分瞭解除工作者外，其他和其職安衛管理系統相關的直接利害相關者及其需求和期望，包括可能形成為法規要求事項和其他要求事項。</w:t>
      </w:r>
    </w:p>
    <w:p>
      <w:pPr>
        <w:pStyle w:val="3"/>
      </w:pPr>
      <w:bookmarkStart w:id="42" w:name="_Toc522793794"/>
      <w:r>
        <w:t>「營造業職業安全衛生管理系統」範疇</w:t>
      </w:r>
      <w:bookmarkEnd w:id="42"/>
    </w:p>
    <w:p>
      <w:pPr>
        <w:pStyle w:val="5"/>
      </w:pPr>
      <w:r>
        <w:rPr>
          <w:szCs w:val="24"/>
        </w:rPr>
        <w:t>本公司係依據</w:t>
      </w:r>
      <w:r>
        <w:t>ISO 45001</w:t>
      </w:r>
      <w:r>
        <w:rPr>
          <w:rFonts w:hint="eastAsia"/>
        </w:rPr>
        <w:t>：</w:t>
      </w:r>
      <w:r>
        <w:t>2018</w:t>
      </w:r>
      <w:r>
        <w:rPr>
          <w:szCs w:val="24"/>
        </w:rPr>
        <w:t>國際標準(職業安全衛生管理系統)，</w:t>
      </w:r>
      <w:r>
        <w:t>建構本公司安全衛生管理系統，藉由Plan（計畫）、Do（執行）、Check（檢查）、Act（行動）循環模式，</w:t>
      </w:r>
      <w:r>
        <w:rPr>
          <w:szCs w:val="24"/>
        </w:rPr>
        <w:t>提供作為施工安全衛生管理</w:t>
      </w:r>
      <w:r>
        <w:t>執</w:t>
      </w:r>
      <w:r>
        <w:rPr>
          <w:szCs w:val="24"/>
        </w:rPr>
        <w:t>行及維持管理系統之適切有效</w:t>
      </w:r>
      <w:r>
        <w:t>以防止不符要求事項發生，追求</w:t>
      </w:r>
      <w:r>
        <w:rPr>
          <w:rFonts w:hint="eastAsia"/>
        </w:rPr>
        <w:t>職業</w:t>
      </w:r>
      <w:r>
        <w:t>安全衛生管理活動的持續改善。</w:t>
      </w:r>
    </w:p>
    <w:p>
      <w:pPr>
        <w:pStyle w:val="5"/>
      </w:pPr>
      <w:r>
        <w:t>本公司職業安全衛生管理系統係依據工程專案開始至結束之產品週期制定，其主要作業流程為自工程承攬、契約審查、施工規劃、採購發包、施工管理、至完工驗收等各階段，並依此制訂相關之文件資訊，提供各流程實行所需。</w:t>
      </w:r>
    </w:p>
    <w:p>
      <w:pPr>
        <w:pStyle w:val="5"/>
      </w:pPr>
      <w:r>
        <w:t>各部門依安全衛生管理系統規範之權責，制定其適用之文件，並引用適當之資</w:t>
      </w:r>
      <w:r>
        <w:br w:type="textWrapping"/>
      </w:r>
      <w:r>
        <w:t>源，使安全衛生管理系統依文件所規定之程序運作。</w:t>
      </w:r>
    </w:p>
    <w:p>
      <w:pPr>
        <w:pStyle w:val="3"/>
      </w:pPr>
      <w:bookmarkStart w:id="43" w:name="_Toc522793795"/>
      <w:r>
        <w:t>職業安全衛生管理系統</w:t>
      </w:r>
      <w:bookmarkEnd w:id="43"/>
    </w:p>
    <w:p>
      <w:pPr>
        <w:pStyle w:val="5"/>
      </w:pPr>
      <w:r>
        <w:t>以系統化之架構，持續推動營造業工作場所自主安全衛生管理活動，結合品質、環境等相關工程管理，實施整合性管理，並推動下列事項：</w:t>
      </w:r>
    </w:p>
    <w:p>
      <w:pPr>
        <w:pStyle w:val="6"/>
        <w:ind w:left="2170" w:hanging="462"/>
      </w:pPr>
      <w:r>
        <w:t>訂定</w:t>
      </w:r>
      <w:r>
        <w:rPr>
          <w:rFonts w:hint="eastAsia"/>
        </w:rPr>
        <w:t>職業</w:t>
      </w:r>
      <w:r>
        <w:t>安全衛生政策。</w:t>
      </w:r>
    </w:p>
    <w:p>
      <w:pPr>
        <w:pStyle w:val="6"/>
        <w:ind w:left="2170" w:hanging="462"/>
      </w:pPr>
      <w:r>
        <w:t>實施危害辨識、風險</w:t>
      </w:r>
      <w:r>
        <w:rPr>
          <w:rFonts w:hint="eastAsia"/>
        </w:rPr>
        <w:t>/機會</w:t>
      </w:r>
      <w:r>
        <w:t>評估及風險管理。</w:t>
      </w:r>
    </w:p>
    <w:p>
      <w:pPr>
        <w:pStyle w:val="6"/>
        <w:ind w:left="2170" w:hanging="462"/>
      </w:pPr>
      <w:r>
        <w:t>訂定</w:t>
      </w:r>
      <w:r>
        <w:rPr>
          <w:rFonts w:hint="eastAsia"/>
        </w:rPr>
        <w:t>職業</w:t>
      </w:r>
      <w:r>
        <w:t>安全衛生目標。</w:t>
      </w:r>
    </w:p>
    <w:p>
      <w:pPr>
        <w:pStyle w:val="6"/>
        <w:ind w:left="2170" w:hanging="462"/>
      </w:pPr>
      <w:r>
        <w:rPr>
          <w:rFonts w:hint="eastAsia"/>
        </w:rPr>
        <w:t>職業</w:t>
      </w:r>
      <w:r>
        <w:t>安全衛生計畫之訂定、實施、檢核及改善。</w:t>
      </w:r>
    </w:p>
    <w:p>
      <w:pPr>
        <w:pStyle w:val="5"/>
      </w:pPr>
      <w:r>
        <w:t>以管理審查會議運作作為定期性安全衛生管理系統審查與檢討，以確認安全衛生管理系統執行改善之績效。</w:t>
      </w:r>
    </w:p>
    <w:p>
      <w:pPr>
        <w:pStyle w:val="5"/>
      </w:pPr>
      <w:r>
        <w:t>依ISO 45001</w:t>
      </w:r>
      <w:r>
        <w:rPr>
          <w:rFonts w:hint="eastAsia"/>
        </w:rPr>
        <w:t>：</w:t>
      </w:r>
      <w:r>
        <w:t>2018 規定建立文件、訓練、資料、紀錄等之管理程序。</w:t>
      </w:r>
    </w:p>
    <w:p>
      <w:pPr>
        <w:pStyle w:val="5"/>
      </w:pPr>
      <w:r>
        <w:t>為確保本公司職業安全衛生管理系統實行適切及有效性，本公司藉由內部稽核程序進行定期及不定期稽核。</w:t>
      </w:r>
    </w:p>
    <w:p>
      <w:pPr>
        <w:pStyle w:val="2"/>
      </w:pPr>
      <w:bookmarkStart w:id="44" w:name="_Toc522793796"/>
      <w:r>
        <w:t>領導、工作者參與</w:t>
      </w:r>
      <w:bookmarkEnd w:id="44"/>
    </w:p>
    <w:p>
      <w:pPr>
        <w:pStyle w:val="3"/>
      </w:pPr>
      <w:bookmarkStart w:id="45" w:name="_Toc522793797"/>
      <w:r>
        <w:t>領導和承諾</w:t>
      </w:r>
      <w:r>
        <w:rPr>
          <w:rFonts w:hint="eastAsia"/>
        </w:rPr>
        <w:t>：</w:t>
      </w:r>
      <w:r>
        <w:t>本公司內最高管理階層對於職安衛管理系統政策以下述作為展現其領導和承諾：</w:t>
      </w:r>
      <w:bookmarkEnd w:id="45"/>
    </w:p>
    <w:p>
      <w:pPr>
        <w:pStyle w:val="5"/>
      </w:pPr>
      <w:r>
        <w:t>公司職業安全衛生的風險性質及規模是合宜的；</w:t>
      </w:r>
    </w:p>
    <w:p>
      <w:pPr>
        <w:pStyle w:val="5"/>
      </w:pPr>
      <w:r>
        <w:t>對於預防傷害與有礙健康以及持續改善職業安全衛生管理與績效之承諾；</w:t>
      </w:r>
    </w:p>
    <w:p>
      <w:pPr>
        <w:pStyle w:val="5"/>
      </w:pPr>
      <w:r>
        <w:t>對相關職業安全衛生法規之遵守及簽署同意職業健康與安全政策與安全衛生管理原則相關要求事項之承諾；</w:t>
      </w:r>
    </w:p>
    <w:p>
      <w:pPr>
        <w:pStyle w:val="5"/>
      </w:pPr>
      <w:r>
        <w:t>制定與審查職業安全衛生目標與標的；</w:t>
      </w:r>
    </w:p>
    <w:p>
      <w:pPr>
        <w:pStyle w:val="5"/>
      </w:pPr>
      <w:r>
        <w:t>制定文件，並實施、維持及傳達給所有員工；</w:t>
      </w:r>
    </w:p>
    <w:p>
      <w:pPr>
        <w:pStyle w:val="5"/>
      </w:pPr>
      <w:r>
        <w:t>支持其他相關管理階層角色，以展現管理階層在其責任領域之領導力；</w:t>
      </w:r>
    </w:p>
    <w:p>
      <w:pPr>
        <w:pStyle w:val="5"/>
      </w:pPr>
      <w:r>
        <w:t>對所有員工進行充分溝通，並使其認知個人在職業安全衛生上所擔負的責任；</w:t>
      </w:r>
    </w:p>
    <w:p>
      <w:pPr>
        <w:pStyle w:val="5"/>
      </w:pPr>
      <w:r>
        <w:t>可向利害相關者公開（員工、承攬商、工作者及其他外界人士）</w:t>
      </w:r>
    </w:p>
    <w:p>
      <w:pPr>
        <w:pStyle w:val="5"/>
      </w:pPr>
      <w:r>
        <w:t>確保與促進持續改善；</w:t>
      </w:r>
    </w:p>
    <w:p>
      <w:pPr>
        <w:pStyle w:val="5"/>
      </w:pPr>
      <w:r>
        <w:t>定期審查以確保政策對公司的適切性。</w:t>
      </w:r>
    </w:p>
    <w:p>
      <w:pPr>
        <w:pStyle w:val="3"/>
      </w:pPr>
      <w:bookmarkStart w:id="46" w:name="_Toc373756366"/>
      <w:bookmarkStart w:id="47" w:name="_Toc435001200"/>
      <w:bookmarkStart w:id="48" w:name="_Toc522793798"/>
      <w:r>
        <w:t>職業健康與安全政策</w:t>
      </w:r>
      <w:bookmarkEnd w:id="46"/>
      <w:bookmarkEnd w:id="47"/>
      <w:bookmarkEnd w:id="48"/>
    </w:p>
    <w:p>
      <w:pPr>
        <w:pStyle w:val="5"/>
      </w:pPr>
      <w:r>
        <w:t>最高管理階層依據公司經營理念及充分考量公司營運方針、屬性及規模及本公司危害風險評鑑結果或管理審查之決議事項，進而將之展現於職安衛政策，職安衛政策須簡明、清晰說明對實施職業安全衛生改善活動的原則，以及對整體職安衛目標和改進職安衛績效的承諾。</w:t>
      </w:r>
    </w:p>
    <w:p>
      <w:pPr>
        <w:pStyle w:val="5"/>
      </w:pPr>
      <w:r>
        <w:t>職安衛政策應充分考量利害相關者意見，包含員工及其代表，並承諾符合政府相關法規之要求。</w:t>
      </w:r>
    </w:p>
    <w:p>
      <w:pPr>
        <w:pStyle w:val="5"/>
      </w:pPr>
      <w:r>
        <w:t>職安衛政策承諾應包含傷害及有礙健康預防、持續改善及遵守適用的相關安衛法規及本公司同意遵守的其他要求，並包含聽取員工及其代表之意見，並鼓勵他們積極參與職業安全衛生管理系統中有興趣的所有活動的承諾。</w:t>
      </w:r>
    </w:p>
    <w:p>
      <w:pPr>
        <w:pStyle w:val="5"/>
      </w:pPr>
      <w:r>
        <w:t>職安衛政策應進行與公司各職安衛目標進行設定及審查作業。</w:t>
      </w:r>
    </w:p>
    <w:p>
      <w:pPr>
        <w:pStyle w:val="5"/>
      </w:pPr>
      <w:r>
        <w:t>職安衛政策應文件化公佈並傳達給為本公司工作或代表本公司的人員，使其充分瞭解政策內容並實施及維持，政策公布時須標註日期，並由</w:t>
      </w:r>
      <w:r>
        <w:rPr>
          <w:rFonts w:hint="eastAsia"/>
        </w:rPr>
        <w:t>最高管理階層</w:t>
      </w:r>
      <w:r>
        <w:t>簽署後生效。</w:t>
      </w:r>
    </w:p>
    <w:p>
      <w:pPr>
        <w:pStyle w:val="5"/>
      </w:pPr>
      <w:r>
        <w:t>職安衛政策應定期進行審查，以確認政策能持續維持並保持其適切性與適宜性。</w:t>
      </w:r>
    </w:p>
    <w:p>
      <w:pPr>
        <w:pStyle w:val="5"/>
      </w:pPr>
      <w:r>
        <w:rPr>
          <w:szCs w:val="24"/>
        </w:rPr>
        <w:t>本公司之職業安全衛生政策</w:t>
      </w:r>
      <w:r>
        <w:t>陳最高管理階層核定後公告於公司資訊網站向利害相關者公開。</w:t>
      </w:r>
    </w:p>
    <w:p>
      <w:pPr>
        <w:pStyle w:val="3"/>
      </w:pPr>
      <w:bookmarkStart w:id="49" w:name="_Toc522793799"/>
      <w:r>
        <w:t>組織的角色、責任及職權</w:t>
      </w:r>
      <w:bookmarkEnd w:id="49"/>
    </w:p>
    <w:p>
      <w:pPr>
        <w:spacing w:line="360" w:lineRule="auto"/>
        <w:ind w:left="1133" w:leftChars="472"/>
      </w:pPr>
      <w:r>
        <w:t>為達成有效安全衛生管理，各</w:t>
      </w:r>
      <w:r>
        <w:rPr>
          <w:rFonts w:hint="eastAsia"/>
        </w:rPr>
        <w:t>單位</w:t>
      </w:r>
      <w:r>
        <w:t>及工務所應指派專責人員，負責安全衛生管　　　　理系統的推動及整合工作；各單位角色與權責應加以界定、文件化及宣導溝通，　　並提供適當資源，其組織架構與責任，如下所述：</w:t>
      </w:r>
    </w:p>
    <w:p>
      <w:pPr>
        <w:pStyle w:val="5"/>
      </w:pPr>
      <w:r>
        <w:t>公司組織圖：由公司網站中公佈最新之公司組織圖。</w:t>
      </w:r>
    </w:p>
    <w:p>
      <w:pPr>
        <w:pStyle w:val="5"/>
      </w:pPr>
      <w:r>
        <w:t>各部門之主要組織職責與分層負責：由公司網站中公佈最新之各部門 之主要組織職責與分層負責。</w:t>
      </w:r>
    </w:p>
    <w:p>
      <w:pPr>
        <w:pStyle w:val="5"/>
      </w:pPr>
      <w:r>
        <w:t>各單位安衛管理業務權責</w:t>
      </w:r>
    </w:p>
    <w:p>
      <w:pPr>
        <w:pStyle w:val="6"/>
        <w:ind w:left="2170" w:hanging="462"/>
      </w:pPr>
      <w:r>
        <w:t xml:space="preserve"> 最高階管理階層</w:t>
      </w:r>
    </w:p>
    <w:p>
      <w:pPr>
        <w:pStyle w:val="7"/>
        <w:ind w:left="2506" w:hanging="280"/>
      </w:pPr>
      <w:r>
        <w:t>負責全公司安全衛生管理系統之運作，並符合ISO 45001</w:t>
      </w:r>
      <w:r>
        <w:rPr>
          <w:rFonts w:hint="eastAsia"/>
        </w:rPr>
        <w:t>：</w:t>
      </w:r>
      <w:r>
        <w:t>2018標準要求。建立、實施、維持及改善安全衛生管理系統所需要的資源(包括人力資源與專門技能、組織的基礎設施、技術及財務之資源之可取用性)。</w:t>
      </w:r>
    </w:p>
    <w:p>
      <w:pPr>
        <w:pStyle w:val="7"/>
        <w:ind w:left="2506" w:hanging="280"/>
      </w:pPr>
      <w:r>
        <w:t>對角色加以定義、指定職責與責任，以及分派權責，以促進有效的安全衛生管理，並對角色、職責、責任及職權加以文件化與宣導溝通。</w:t>
      </w:r>
    </w:p>
    <w:p>
      <w:pPr>
        <w:pStyle w:val="7"/>
        <w:ind w:left="2506" w:hanging="280"/>
      </w:pPr>
      <w:r>
        <w:t>落實公司職業健康與安全政策，並廣泛推廣。</w:t>
      </w:r>
    </w:p>
    <w:p>
      <w:pPr>
        <w:pStyle w:val="7"/>
        <w:ind w:left="2506" w:hanging="280"/>
      </w:pPr>
      <w:r>
        <w:t>核准安衛目標管理方案及不可接受風險之確認。</w:t>
      </w:r>
    </w:p>
    <w:p>
      <w:pPr>
        <w:pStyle w:val="7"/>
        <w:ind w:left="2506" w:hanging="280"/>
      </w:pPr>
      <w:r>
        <w:t>集合檢討全公司及工務所</w:t>
      </w:r>
      <w:r>
        <w:rPr>
          <w:rFonts w:hint="eastAsia"/>
        </w:rPr>
        <w:t>職業</w:t>
      </w:r>
      <w:r>
        <w:t>安全衛生系統之缺失及診斷，定期追蹤與檢討安衛目標達成狀況及適切性。</w:t>
      </w:r>
    </w:p>
    <w:p>
      <w:pPr>
        <w:pStyle w:val="7"/>
        <w:ind w:left="2506" w:hanging="280"/>
      </w:pPr>
      <w:r>
        <w:t>推動公司內全體員工對安全衛生活動之參與。</w:t>
      </w:r>
    </w:p>
    <w:p>
      <w:pPr>
        <w:pStyle w:val="7"/>
        <w:ind w:left="2506" w:hanging="280"/>
      </w:pPr>
      <w:r>
        <w:t>負管理責任者應展現其對職安衛績效持續改善的承諾。</w:t>
      </w:r>
    </w:p>
    <w:p>
      <w:pPr>
        <w:pStyle w:val="7"/>
        <w:ind w:left="2506" w:hanging="280"/>
      </w:pPr>
      <w:r>
        <w:t>負有職業安全衛生與職業安全衛生管理系統的最終責任。</w:t>
      </w:r>
    </w:p>
    <w:p>
      <w:pPr>
        <w:pStyle w:val="6"/>
        <w:ind w:left="2170" w:hanging="462"/>
      </w:pPr>
      <w:r>
        <w:t>職業安全衛生委員會</w:t>
      </w:r>
    </w:p>
    <w:p>
      <w:pPr>
        <w:keepNext/>
        <w:widowControl w:val="0"/>
        <w:spacing w:line="360" w:lineRule="auto"/>
        <w:ind w:left="2155" w:leftChars="898"/>
        <w:rPr>
          <w:snapToGrid w:val="0"/>
        </w:rPr>
      </w:pPr>
      <w:r>
        <w:rPr>
          <w:snapToGrid w:val="0"/>
        </w:rPr>
        <w:t>本會設主任委員一人，由總經理擔任主任委員，綜理會務；本會設委員OO人以上，任期兩年；由總經理指派安全衛生人員、相關部門主管、安全衛生有關之工程技術人員及由本公司同仁推選代表應佔委員人數之三分之一以上為委員共同組成之，其主要任務為：</w:t>
      </w:r>
    </w:p>
    <w:p>
      <w:pPr>
        <w:pStyle w:val="7"/>
        <w:ind w:left="2506" w:hanging="280"/>
      </w:pPr>
      <w:r>
        <w:t>對管理代表擬訂之職業健康與安全政策提出建議。</w:t>
      </w:r>
    </w:p>
    <w:p>
      <w:pPr>
        <w:pStyle w:val="7"/>
        <w:ind w:left="2506" w:hanging="280"/>
      </w:pPr>
      <w:r>
        <w:t>協調、建議安全衛生自主管理計畫。</w:t>
      </w:r>
    </w:p>
    <w:p>
      <w:pPr>
        <w:pStyle w:val="7"/>
        <w:ind w:left="2506" w:hanging="280"/>
      </w:pPr>
      <w:r>
        <w:t>審議安全、衛生教育訓練實施計畫。</w:t>
      </w:r>
    </w:p>
    <w:p>
      <w:pPr>
        <w:pStyle w:val="7"/>
        <w:ind w:left="2506" w:hanging="280"/>
      </w:pPr>
      <w:r>
        <w:t>審議健康管理、職業病預防及健康促進事項。</w:t>
      </w:r>
    </w:p>
    <w:p>
      <w:pPr>
        <w:pStyle w:val="7"/>
        <w:ind w:left="2506" w:hanging="280"/>
      </w:pPr>
      <w:r>
        <w:t>審議各項安全衛生提案。</w:t>
      </w:r>
    </w:p>
    <w:p>
      <w:pPr>
        <w:pStyle w:val="7"/>
        <w:ind w:left="2506" w:hanging="280"/>
      </w:pPr>
      <w:r>
        <w:t>審議事業單位自動檢查及安全衛生稽核事項。</w:t>
      </w:r>
    </w:p>
    <w:p>
      <w:pPr>
        <w:pStyle w:val="7"/>
        <w:ind w:left="2506" w:hanging="280"/>
      </w:pPr>
      <w:r>
        <w:t>審議機械、設備或原料、材料危害之預防措施。</w:t>
      </w:r>
    </w:p>
    <w:p>
      <w:pPr>
        <w:pStyle w:val="7"/>
        <w:ind w:left="2506" w:hanging="280"/>
      </w:pPr>
      <w:r>
        <w:t>審議職業災害調查報告。</w:t>
      </w:r>
    </w:p>
    <w:p>
      <w:pPr>
        <w:pStyle w:val="7"/>
        <w:ind w:left="2506" w:hanging="280"/>
      </w:pPr>
      <w:r>
        <w:t>考核現場安全衛生管理績效。</w:t>
      </w:r>
    </w:p>
    <w:p>
      <w:pPr>
        <w:pStyle w:val="7"/>
        <w:ind w:left="2506" w:hanging="280"/>
      </w:pPr>
      <w:r>
        <w:t>審議承攬業務安全衛生管理事項。</w:t>
      </w:r>
    </w:p>
    <w:p>
      <w:pPr>
        <w:pStyle w:val="7"/>
        <w:ind w:left="2506" w:hanging="280"/>
      </w:pPr>
      <w:r>
        <w:t>其他有關職業安全衛生管理事項。</w:t>
      </w:r>
    </w:p>
    <w:p>
      <w:pPr>
        <w:pStyle w:val="6"/>
        <w:ind w:left="2170" w:hanging="462"/>
      </w:pPr>
      <w:bookmarkStart w:id="50" w:name="_Toc143682288"/>
      <w:bookmarkStart w:id="51" w:name="_Toc143682083"/>
      <w:bookmarkStart w:id="52" w:name="_Toc143683540"/>
      <w:r>
        <w:t>各處、部主管安全衛生管理業務職責</w:t>
      </w:r>
      <w:r>
        <w:br w:type="textWrapping"/>
      </w:r>
      <w:r>
        <w:t>負責管理、指揮、監督、考核有關人員應執行事項並提供執行、管控、改善安全衛生管理系統所需資源。</w:t>
      </w:r>
    </w:p>
    <w:bookmarkEnd w:id="50"/>
    <w:bookmarkEnd w:id="51"/>
    <w:bookmarkEnd w:id="52"/>
    <w:p>
      <w:pPr>
        <w:pStyle w:val="6"/>
        <w:ind w:left="2170" w:hanging="462"/>
      </w:pPr>
      <w:r>
        <w:t>工務所主管部門安全衛生管理業務職責</w:t>
      </w:r>
    </w:p>
    <w:p>
      <w:pPr>
        <w:pStyle w:val="7"/>
        <w:ind w:left="2506" w:hanging="280"/>
      </w:pPr>
      <w:r>
        <w:t>負責工程成本、品質、進度、安衛管理制度之規劃、建立、管理與維護。</w:t>
      </w:r>
    </w:p>
    <w:p>
      <w:pPr>
        <w:pStyle w:val="7"/>
        <w:ind w:left="2506" w:hanging="280"/>
      </w:pPr>
      <w:r>
        <w:t>督導工務所安全衛生環境管理、不合格案矯正銷案報核情形追蹤。</w:t>
      </w:r>
    </w:p>
    <w:p>
      <w:pPr>
        <w:pStyle w:val="7"/>
        <w:ind w:left="2506" w:hanging="280"/>
      </w:pPr>
      <w:r>
        <w:t>安全衛生設施要求之統一標準化。</w:t>
      </w:r>
    </w:p>
    <w:p>
      <w:pPr>
        <w:pStyle w:val="7"/>
        <w:ind w:left="2506" w:hanging="280"/>
      </w:pPr>
      <w:r>
        <w:t>考核工務所安衛執行成效作為年度工務所人員之績效。</w:t>
      </w:r>
    </w:p>
    <w:p>
      <w:pPr>
        <w:pStyle w:val="6"/>
        <w:ind w:left="2170" w:hanging="462"/>
      </w:pPr>
      <w:bookmarkStart w:id="53" w:name="_Toc143683542"/>
      <w:bookmarkStart w:id="54" w:name="_Toc143682085"/>
      <w:bookmarkStart w:id="55" w:name="_Toc143682290"/>
      <w:r>
        <w:t>工務所安全衛生管理業務職責</w:t>
      </w:r>
      <w:bookmarkEnd w:id="53"/>
      <w:bookmarkEnd w:id="54"/>
      <w:bookmarkEnd w:id="55"/>
      <w:r>
        <w:br w:type="textWrapping"/>
      </w:r>
      <w:r>
        <w:t>負責工程成本、品質、進度、安衛管理制度之執行、管理與維護。</w:t>
      </w:r>
    </w:p>
    <w:p>
      <w:pPr>
        <w:pStyle w:val="6"/>
        <w:ind w:left="2170" w:hanging="462"/>
        <w:rPr>
          <w:snapToGrid w:val="0"/>
        </w:rPr>
      </w:pPr>
      <w:r>
        <w:t>安全衛生管理（</w:t>
      </w:r>
      <w:r>
        <w:rPr>
          <w:rFonts w:hint="eastAsia"/>
        </w:rPr>
        <w:t>管理</w:t>
      </w:r>
      <w:r>
        <w:t>）單位安全衛生管理業務職責</w:t>
      </w:r>
      <w:r>
        <w:br w:type="textWrapping"/>
      </w:r>
      <w:r>
        <w:t>負責制度規劃推動與改善、計畫訂定、教育訓練、稽核、溝通協調。公司管理單位為</w:t>
      </w:r>
      <w:r>
        <w:rPr>
          <w:snapToGrid w:val="0"/>
        </w:rPr>
        <w:t>職安單位，工務所為安衛組負責。</w:t>
      </w:r>
    </w:p>
    <w:p>
      <w:pPr>
        <w:pStyle w:val="6"/>
        <w:ind w:left="2170" w:hanging="462"/>
      </w:pPr>
      <w:r>
        <w:t>職安單位安全衛生管理業務職責</w:t>
      </w:r>
    </w:p>
    <w:p>
      <w:pPr>
        <w:pStyle w:val="7"/>
        <w:ind w:left="2506" w:hanging="280"/>
      </w:pPr>
      <w:r>
        <w:t>職業健康與安全政策之推動與督導。</w:t>
      </w:r>
    </w:p>
    <w:p>
      <w:pPr>
        <w:pStyle w:val="7"/>
        <w:ind w:left="2506" w:hanging="280"/>
      </w:pPr>
      <w:r>
        <w:t>安衛管理制度及標準系統規劃。</w:t>
      </w:r>
    </w:p>
    <w:p>
      <w:pPr>
        <w:pStyle w:val="7"/>
        <w:ind w:left="2506" w:hanging="280"/>
      </w:pPr>
      <w:r>
        <w:t>輔導及協助演練在建工程危險性工作場所評估作業。</w:t>
      </w:r>
    </w:p>
    <w:p>
      <w:pPr>
        <w:pStyle w:val="7"/>
        <w:ind w:left="2506" w:hanging="280"/>
      </w:pPr>
      <w:r>
        <w:t>規劃實施安全衛生教育訓練。</w:t>
      </w:r>
    </w:p>
    <w:p>
      <w:pPr>
        <w:pStyle w:val="7"/>
        <w:ind w:left="2506" w:hanging="280"/>
      </w:pPr>
      <w:r>
        <w:t>安衛稽查與考核。</w:t>
      </w:r>
    </w:p>
    <w:p>
      <w:pPr>
        <w:pStyle w:val="7"/>
        <w:ind w:left="2506" w:hanging="280"/>
      </w:pPr>
      <w:r>
        <w:t>職安事件之預防及統計分析。</w:t>
      </w:r>
    </w:p>
    <w:p>
      <w:pPr>
        <w:pStyle w:val="7"/>
        <w:ind w:left="2506" w:hanging="280"/>
      </w:pPr>
      <w:r>
        <w:t>提</w:t>
      </w:r>
      <w:r>
        <w:rPr>
          <w:rFonts w:hint="eastAsia"/>
        </w:rPr>
        <w:t>升</w:t>
      </w:r>
      <w:r>
        <w:t>安衛管理與技術水準。</w:t>
      </w:r>
    </w:p>
    <w:p>
      <w:pPr>
        <w:pStyle w:val="7"/>
        <w:ind w:left="2506" w:hanging="280"/>
      </w:pPr>
      <w:r>
        <w:t>安衛資訊之蒐集並提供安衛與相關資訊溝通。</w:t>
      </w:r>
    </w:p>
    <w:p>
      <w:pPr>
        <w:pStyle w:val="7"/>
        <w:ind w:left="2506" w:hanging="280"/>
      </w:pPr>
      <w:r>
        <w:t>規劃及辦理員工健康檢查、健康管理及健康促進。</w:t>
      </w:r>
    </w:p>
    <w:p>
      <w:pPr>
        <w:pStyle w:val="6"/>
        <w:ind w:left="2170" w:hanging="462"/>
      </w:pPr>
      <w:r>
        <w:t>工務所安衛組安全衛生管理業務職責</w:t>
      </w:r>
    </w:p>
    <w:p>
      <w:pPr>
        <w:pStyle w:val="7"/>
        <w:ind w:left="2506" w:hanging="280"/>
      </w:pPr>
      <w:r>
        <w:t>職業健康與安全政策之推動。</w:t>
      </w:r>
    </w:p>
    <w:p>
      <w:pPr>
        <w:pStyle w:val="7"/>
        <w:ind w:left="2506" w:hanging="280"/>
      </w:pPr>
      <w:r>
        <w:t>規劃、推動工務所施工安全評估、目標設定、績效衡量與控制。</w:t>
      </w:r>
    </w:p>
    <w:p>
      <w:pPr>
        <w:pStyle w:val="7"/>
        <w:ind w:left="2506" w:hanging="280"/>
      </w:pPr>
      <w:r>
        <w:t>安衛制度規劃推動與改善。</w:t>
      </w:r>
    </w:p>
    <w:p>
      <w:pPr>
        <w:pStyle w:val="7"/>
        <w:ind w:left="2506" w:hanging="280"/>
      </w:pPr>
      <w:r>
        <w:t>規劃推動安衛協議組織及會議。</w:t>
      </w:r>
    </w:p>
    <w:p>
      <w:pPr>
        <w:pStyle w:val="7"/>
        <w:ind w:left="2506" w:hanging="280"/>
      </w:pPr>
      <w:r>
        <w:t>規劃</w:t>
      </w:r>
      <w:r>
        <w:rPr>
          <w:rFonts w:hint="eastAsia"/>
        </w:rPr>
        <w:t>員工</w:t>
      </w:r>
      <w:r>
        <w:t>健康檢查、實施健康管理，設置醫療急救器材及人員。</w:t>
      </w:r>
    </w:p>
    <w:p>
      <w:pPr>
        <w:pStyle w:val="7"/>
        <w:ind w:left="2506" w:hanging="280"/>
      </w:pPr>
      <w:r>
        <w:t>釐定職業災害防止計畫，並指導有關單位實施。</w:t>
      </w:r>
    </w:p>
    <w:p>
      <w:pPr>
        <w:pStyle w:val="7"/>
        <w:ind w:left="2506" w:hanging="280"/>
      </w:pPr>
      <w:r>
        <w:t>規劃、督導有關人員實施巡視、定期檢查、重點檢查及作業環境測定。</w:t>
      </w:r>
    </w:p>
    <w:p>
      <w:pPr>
        <w:pStyle w:val="7"/>
        <w:ind w:left="2506" w:hanging="280"/>
      </w:pPr>
      <w:r>
        <w:t>規劃並督導人員、車輛、危險性機具與設備進場及動火作業前申請及許可管制執行。</w:t>
      </w:r>
    </w:p>
    <w:p>
      <w:pPr>
        <w:pStyle w:val="7"/>
        <w:ind w:left="2506" w:hanging="280"/>
      </w:pPr>
      <w:r>
        <w:t>所屬於分包商進場前實施相關安全衛生、法令規定之教育訓練及工作環境之危害告知。</w:t>
      </w:r>
    </w:p>
    <w:p>
      <w:pPr>
        <w:pStyle w:val="7"/>
        <w:ind w:left="2506" w:hanging="280"/>
      </w:pPr>
      <w:r>
        <w:t>規劃、推動安衛管理系統教育訓練。</w:t>
      </w:r>
    </w:p>
    <w:p>
      <w:pPr>
        <w:pStyle w:val="7"/>
        <w:ind w:left="2506" w:hanging="280"/>
      </w:pPr>
      <w:r>
        <w:t>職安事件之預防及統計分析。</w:t>
      </w:r>
    </w:p>
    <w:p>
      <w:pPr>
        <w:pStyle w:val="7"/>
        <w:ind w:left="2506" w:hanging="280"/>
      </w:pPr>
      <w:r>
        <w:t>內外部安衛溝通協調並對相關單位檢查缺失督導改善及追蹤改善成效。</w:t>
      </w:r>
    </w:p>
    <w:p>
      <w:pPr>
        <w:pStyle w:val="6"/>
      </w:pPr>
      <w:bookmarkStart w:id="56" w:name="_Toc143683543"/>
      <w:bookmarkStart w:id="57" w:name="_Toc143682086"/>
      <w:bookmarkStart w:id="58" w:name="_Toc143682291"/>
      <w:r>
        <w:t>工務所人員安全衛生管理職責</w:t>
      </w:r>
      <w:bookmarkEnd w:id="56"/>
      <w:bookmarkEnd w:id="57"/>
      <w:bookmarkEnd w:id="58"/>
      <w:r>
        <w:t>依據工務所安全衛生管理規定責成各級人員之安全衛生職責。</w:t>
      </w:r>
    </w:p>
    <w:p>
      <w:pPr>
        <w:pStyle w:val="3"/>
      </w:pPr>
      <w:bookmarkStart w:id="59" w:name="_Toc522793800"/>
      <w:r>
        <w:t>工作者之諮商及參與</w:t>
      </w:r>
      <w:bookmarkEnd w:id="59"/>
    </w:p>
    <w:p>
      <w:pPr>
        <w:spacing w:line="360" w:lineRule="auto"/>
        <w:ind w:left="1133" w:leftChars="472"/>
      </w:pPr>
      <w:r>
        <w:t>為建立完善之資訊溝通諮商及參與，即時向員工及其他利害相關者傳達適切之安全衛生資訊，提供溝通、參與及諮詢協助以達成良好互動關係；公司應依循『職安衛溝通管理程序』，以確認適切的安全衛生訊息已向員工及其他利害相關者雙向溝通，並能規範如何接受、文件化及回應有關來自外部利害關係者之相關訊息。</w:t>
      </w:r>
    </w:p>
    <w:p>
      <w:pPr>
        <w:pStyle w:val="5"/>
      </w:pPr>
      <w:r>
        <w:t>本公司</w:t>
      </w:r>
      <w:r>
        <w:rPr>
          <w:rFonts w:hint="eastAsia"/>
        </w:rPr>
        <w:t>應</w:t>
      </w:r>
      <w:r>
        <w:t>安排員工及其安全衛生代表，使其有時間及資源積極參與安全衛生管理系統之組成、規劃及實施、評估與改進措施。</w:t>
      </w:r>
    </w:p>
    <w:p>
      <w:pPr>
        <w:pStyle w:val="5"/>
      </w:pPr>
      <w:r>
        <w:t>本公司應諮商協力廠商有任何改變會影響其安全衛生狀況之相關議題。</w:t>
      </w:r>
    </w:p>
    <w:p>
      <w:pPr>
        <w:pStyle w:val="5"/>
      </w:pPr>
      <w:r>
        <w:t>員工應參與下列職業安全衛生活動：</w:t>
      </w:r>
    </w:p>
    <w:p>
      <w:pPr>
        <w:pStyle w:val="6"/>
        <w:ind w:left="2170" w:hanging="462"/>
      </w:pPr>
      <w:r>
        <w:t>適當地參與危害鑑別、風險評鑑及風險控制方法決定。</w:t>
      </w:r>
    </w:p>
    <w:p>
      <w:pPr>
        <w:pStyle w:val="6"/>
        <w:ind w:left="2170" w:hanging="462"/>
      </w:pPr>
      <w:r>
        <w:t>適當地參與事件調查和不符合事項，並決定矯正措施。</w:t>
      </w:r>
    </w:p>
    <w:p>
      <w:pPr>
        <w:pStyle w:val="6"/>
        <w:ind w:left="2170" w:hanging="462"/>
      </w:pPr>
      <w:r>
        <w:t>參與安全衛生政策、目標及程序之發展與審查以管理風險。</w:t>
      </w:r>
    </w:p>
    <w:p>
      <w:pPr>
        <w:pStyle w:val="6"/>
        <w:ind w:left="2170" w:hanging="462"/>
      </w:pPr>
      <w:r>
        <w:t>在任何工作場所之安全及衛生的情況改變時應被諮商。</w:t>
      </w:r>
    </w:p>
    <w:p>
      <w:pPr>
        <w:pStyle w:val="6"/>
        <w:ind w:left="2170" w:hanging="462"/>
      </w:pPr>
      <w:r>
        <w:t>獲知安全衛生相關事務的說明。</w:t>
      </w:r>
    </w:p>
    <w:p>
      <w:pPr>
        <w:pStyle w:val="6"/>
        <w:ind w:left="2170" w:hanging="462"/>
      </w:pPr>
      <w:r>
        <w:rPr>
          <w:rFonts w:hint="eastAsia"/>
        </w:rPr>
        <w:t>宣導與</w:t>
      </w:r>
      <w:r>
        <w:t>告知誰是勞工代表及誰是安全衛生管理代表。</w:t>
      </w:r>
    </w:p>
    <w:p>
      <w:pPr>
        <w:pStyle w:val="5"/>
      </w:pPr>
      <w:r>
        <w:t>各級主管應藉由管理審查會議，定期檢討安衛管理目標達成狀況及各項安全衛生問題，掌握安衛管理系統相關資訊，向部屬傳達。</w:t>
      </w:r>
    </w:p>
    <w:p>
      <w:pPr>
        <w:pStyle w:val="5"/>
      </w:pPr>
      <w:r>
        <w:t>本公司應確保與外部利害相關者諮商適切的安全衛生事務。</w:t>
      </w:r>
    </w:p>
    <w:p>
      <w:pPr>
        <w:pStyle w:val="5"/>
      </w:pPr>
      <w:r>
        <w:t>本公司職業安全衛生委員會應審查安全衛生管理之溝通、參與及諮商的結果。</w:t>
      </w:r>
    </w:p>
    <w:p>
      <w:pPr>
        <w:pStyle w:val="5"/>
      </w:pPr>
      <w:r>
        <w:t>評估訂定及管制安衛相關作業前，應先諮詢員工或承攬商之意見並應適時適切採納之。</w:t>
      </w:r>
    </w:p>
    <w:p>
      <w:pPr>
        <w:pStyle w:val="5"/>
      </w:pPr>
      <w:r>
        <w:t>工務所應對承攬商或訪客於進場前告知工地安全衛生風險，以防範危害發生。</w:t>
      </w:r>
    </w:p>
    <w:p>
      <w:pPr>
        <w:pStyle w:val="5"/>
      </w:pPr>
      <w:r>
        <w:t>凡影響工作場所職業安全衛生的變更，如引用新進改良設施設備、物料、工法、程序與工作方法亦應有效告知相關作業人員。</w:t>
      </w:r>
    </w:p>
    <w:p>
      <w:pPr>
        <w:pStyle w:val="2"/>
      </w:pPr>
      <w:bookmarkStart w:id="60" w:name="_Toc522793801"/>
      <w:r>
        <w:t>規劃</w:t>
      </w:r>
      <w:bookmarkEnd w:id="60"/>
    </w:p>
    <w:p>
      <w:pPr>
        <w:pStyle w:val="3"/>
      </w:pPr>
      <w:bookmarkStart w:id="61" w:name="_Toc522793802"/>
      <w:r>
        <w:t>因應風險和機會的行動</w:t>
      </w:r>
      <w:bookmarkEnd w:id="61"/>
    </w:p>
    <w:p>
      <w:pPr>
        <w:pStyle w:val="5"/>
      </w:pPr>
      <w:r>
        <w:t>通則</w:t>
      </w:r>
    </w:p>
    <w:p>
      <w:pPr>
        <w:spacing w:line="360" w:lineRule="auto"/>
        <w:ind w:left="1133" w:leftChars="472"/>
      </w:pPr>
      <w:r>
        <w:t>公司應依據</w:t>
      </w:r>
      <w:r>
        <w:rPr>
          <w:rFonts w:hint="eastAsia"/>
        </w:rPr>
        <w:t>ISO 45001：2018 之</w:t>
      </w:r>
      <w:r>
        <w:t>4.1前後環節所述議題、利害相關者及「業職業安全衛生管理系統」範疇所述要求事項，並決定需要因應的風險和機會，以達成職業安全衛生管理系統預期結果的保證；預防或降低不希望得到的效果；達到持續改善。</w:t>
      </w:r>
    </w:p>
    <w:p>
      <w:pPr>
        <w:pStyle w:val="5"/>
      </w:pPr>
      <w:r>
        <w:t>危害鑑別與職安衛風險機會</w:t>
      </w:r>
    </w:p>
    <w:p>
      <w:pPr>
        <w:pStyle w:val="6"/>
        <w:ind w:left="2170" w:hanging="462"/>
      </w:pPr>
      <w:r>
        <w:t>本公司應建立風險/機會評估作業程序，以持續鑑別作業危害及執行風險評估並依據實際狀況實施必要的控制方式。</w:t>
      </w:r>
    </w:p>
    <w:p>
      <w:pPr>
        <w:pStyle w:val="6"/>
        <w:ind w:left="2170" w:hanging="462"/>
      </w:pPr>
      <w:r>
        <w:t>建立風險/機會評估作業程序時，應符合下列管理原則：</w:t>
      </w:r>
    </w:p>
    <w:p>
      <w:pPr>
        <w:pStyle w:val="7"/>
        <w:ind w:left="2506" w:hanging="280"/>
      </w:pPr>
      <w:r>
        <w:t>有效鑑別本公司工作場所例行性與非例行性及作業變更之活動，對所有進入本公司之人員（包含承攬商及訪客）與其使用之機械與設備，可能衍生的物理性、化學性、生物性、心理性以及人體工學問題等各類型安全與健康之危害，評估界定其危害風險等級並進行有效之風險/機會控制。</w:t>
      </w:r>
    </w:p>
    <w:p>
      <w:pPr>
        <w:pStyle w:val="7"/>
        <w:ind w:left="2506" w:hanging="280"/>
      </w:pPr>
      <w:r>
        <w:t xml:space="preserve">能依相關資訊適時更新，以確保職業健康與安全政策、目標與安衛風險/機會評估之適切性並追蹤達成狀況。 </w:t>
      </w:r>
    </w:p>
    <w:p>
      <w:pPr>
        <w:pStyle w:val="7"/>
        <w:ind w:left="2506" w:hanging="280"/>
      </w:pPr>
      <w:r>
        <w:t>所採取之控制方式與本公司運作經驗及使用風險控制能力一致的方法。</w:t>
      </w:r>
    </w:p>
    <w:p>
      <w:pPr>
        <w:pStyle w:val="7"/>
        <w:ind w:left="2506" w:hanging="280"/>
      </w:pPr>
      <w:r>
        <w:t>依據組織之範圍、性質及確保此方法是主動的而非被動的。</w:t>
      </w:r>
    </w:p>
    <w:p>
      <w:pPr>
        <w:pStyle w:val="7"/>
        <w:ind w:left="2506" w:hanging="280"/>
      </w:pPr>
      <w:r>
        <w:t>提供風險鑑別的資訊，並考量法規要求事項及其他要求事項，執行相關管制作業控制風險。</w:t>
      </w:r>
    </w:p>
    <w:p>
      <w:pPr>
        <w:pStyle w:val="7"/>
        <w:ind w:left="2506" w:hanging="280"/>
      </w:pPr>
      <w:r>
        <w:t>提供必要性監督資訊，以確認措施實施的有效性及適時性。</w:t>
      </w:r>
    </w:p>
    <w:p>
      <w:pPr>
        <w:pStyle w:val="7"/>
        <w:ind w:left="2506" w:hanging="280"/>
      </w:pPr>
      <w:r>
        <w:t>風險/機會評估程序應有助於判斷已經或者可能會在工作場所中造成之重大安全衛生風險/機會。</w:t>
      </w:r>
    </w:p>
    <w:p>
      <w:pPr>
        <w:pStyle w:val="7"/>
        <w:ind w:left="2506" w:hanging="280"/>
      </w:pPr>
      <w:r>
        <w:t>各部門單位決定控制措施，或是考慮改變現有的控制措施時，應依據以下的順序以考量降低風險：</w:t>
      </w:r>
    </w:p>
    <w:p>
      <w:pPr>
        <w:pStyle w:val="8"/>
        <w:ind w:left="2835"/>
        <w:rPr>
          <w:rFonts w:ascii="Times New Roman" w:hAnsi="Times New Roman"/>
          <w:szCs w:val="24"/>
        </w:rPr>
      </w:pPr>
      <w:r>
        <w:rPr>
          <w:rFonts w:ascii="Times New Roman" w:hAnsi="Times New Roman"/>
          <w:szCs w:val="24"/>
        </w:rPr>
        <w:t>消除。</w:t>
      </w:r>
    </w:p>
    <w:p>
      <w:pPr>
        <w:pStyle w:val="8"/>
        <w:ind w:left="2835"/>
        <w:rPr>
          <w:rFonts w:ascii="Times New Roman" w:hAnsi="Times New Roman"/>
          <w:szCs w:val="24"/>
        </w:rPr>
      </w:pPr>
      <w:r>
        <w:rPr>
          <w:rFonts w:ascii="Times New Roman" w:hAnsi="Times New Roman"/>
          <w:szCs w:val="24"/>
        </w:rPr>
        <w:t>取代。</w:t>
      </w:r>
    </w:p>
    <w:p>
      <w:pPr>
        <w:pStyle w:val="8"/>
        <w:ind w:left="2835"/>
        <w:rPr>
          <w:rFonts w:ascii="Times New Roman" w:hAnsi="Times New Roman"/>
          <w:szCs w:val="24"/>
        </w:rPr>
      </w:pPr>
      <w:r>
        <w:rPr>
          <w:rFonts w:ascii="Times New Roman" w:hAnsi="Times New Roman"/>
        </w:rPr>
        <w:t>工程</w:t>
      </w:r>
      <w:r>
        <w:rPr>
          <w:rFonts w:ascii="Times New Roman" w:hAnsi="Times New Roman"/>
          <w:szCs w:val="24"/>
        </w:rPr>
        <w:t>控制措施。</w:t>
      </w:r>
    </w:p>
    <w:p>
      <w:pPr>
        <w:pStyle w:val="8"/>
        <w:ind w:left="2835"/>
        <w:rPr>
          <w:rFonts w:ascii="Times New Roman" w:hAnsi="Times New Roman"/>
          <w:szCs w:val="24"/>
        </w:rPr>
      </w:pPr>
      <w:r>
        <w:rPr>
          <w:rFonts w:ascii="Times New Roman" w:hAnsi="Times New Roman"/>
        </w:rPr>
        <w:t>標示</w:t>
      </w:r>
      <w:r>
        <w:rPr>
          <w:rFonts w:ascii="Times New Roman" w:hAnsi="Times New Roman"/>
          <w:szCs w:val="24"/>
        </w:rPr>
        <w:t>/警告與/或管理控制措施。</w:t>
      </w:r>
    </w:p>
    <w:p>
      <w:pPr>
        <w:pStyle w:val="8"/>
        <w:ind w:left="2835"/>
        <w:rPr>
          <w:rFonts w:ascii="Times New Roman" w:hAnsi="Times New Roman"/>
          <w:szCs w:val="24"/>
        </w:rPr>
      </w:pPr>
      <w:r>
        <w:rPr>
          <w:rFonts w:ascii="Times New Roman" w:hAnsi="Times New Roman"/>
          <w:szCs w:val="24"/>
        </w:rPr>
        <w:t>個人防護器具。</w:t>
      </w:r>
    </w:p>
    <w:p>
      <w:pPr>
        <w:pStyle w:val="6"/>
        <w:ind w:left="2170" w:hanging="462"/>
      </w:pPr>
      <w:r>
        <w:t>本公司應確保在決定風險控制措施時，亦已考量現階段之知識水準，包括來自安全衛生主管機關、勞動檢查機構、安全衛生服務機構及其他服務機構之資訊或報告。</w:t>
      </w:r>
    </w:p>
    <w:p>
      <w:pPr>
        <w:pStyle w:val="6"/>
        <w:ind w:left="2170" w:hanging="462"/>
      </w:pPr>
      <w:r>
        <w:t>在設定本公司安衛目標與標的時，應確認已將這些重大之安衛風險/機會納入考慮。</w:t>
      </w:r>
    </w:p>
    <w:p>
      <w:pPr>
        <w:pStyle w:val="6"/>
        <w:ind w:left="2170" w:hanging="462"/>
      </w:pPr>
      <w:r>
        <w:t>應將此項資訊文件保持其更新。</w:t>
      </w:r>
    </w:p>
    <w:p>
      <w:pPr>
        <w:pStyle w:val="5"/>
      </w:pPr>
      <w:r>
        <w:t>決定法令規章及其他要求事項</w:t>
      </w:r>
    </w:p>
    <w:p>
      <w:pPr>
        <w:pStyle w:val="6"/>
        <w:ind w:left="2170" w:hanging="462"/>
      </w:pPr>
      <w:r>
        <w:t>為有效界定與本公司相關之職業安全衛生法規之適用性，應依建立職業安全衛生法規鑑別程序，執行法規鑑別與查詢。</w:t>
      </w:r>
    </w:p>
    <w:p>
      <w:pPr>
        <w:pStyle w:val="6"/>
        <w:ind w:left="2170" w:hanging="462"/>
      </w:pPr>
      <w:r>
        <w:t>建立職業安全衛生法規鑑別程序時，應符合下列管理原則：</w:t>
      </w:r>
    </w:p>
    <w:p>
      <w:pPr>
        <w:pStyle w:val="7"/>
        <w:ind w:left="2506" w:hanging="280"/>
      </w:pPr>
      <w:r>
        <w:t>應定期進行法規與其他要求資訊之蒐集與查核，以確認法規之符合度。</w:t>
      </w:r>
    </w:p>
    <w:p>
      <w:pPr>
        <w:pStyle w:val="7"/>
        <w:ind w:left="2506" w:hanging="280"/>
      </w:pPr>
      <w:r>
        <w:t>應依據查核結果通知權責單位重新檢視及判定法令之符合性，以作為安全衛生管理之基本要求。</w:t>
      </w:r>
    </w:p>
    <w:p>
      <w:pPr>
        <w:pStyle w:val="7"/>
        <w:ind w:left="2506" w:hanging="280"/>
      </w:pPr>
      <w:r>
        <w:t>相關法規資訊應傳達給員工與其他利害相關者。</w:t>
      </w:r>
    </w:p>
    <w:p>
      <w:pPr>
        <w:pStyle w:val="7"/>
        <w:ind w:left="2506" w:hanging="280"/>
      </w:pPr>
      <w:r>
        <w:t>針對法令查核不符合者，執行安全衛生法規鑑別相關管制作業。</w:t>
      </w:r>
    </w:p>
    <w:p>
      <w:pPr>
        <w:pStyle w:val="7"/>
        <w:ind w:left="2506" w:hanging="280"/>
      </w:pPr>
      <w:r>
        <w:t xml:space="preserve"> 各單位查核不符合法規事項，應針對法規不符合事項判定是否可立即改善；倘若違反法令者，則提出安衛風險評估與目標管理方案作業之改善措施。</w:t>
      </w:r>
    </w:p>
    <w:p>
      <w:pPr>
        <w:pStyle w:val="7"/>
        <w:ind w:left="2506" w:hanging="280"/>
      </w:pPr>
      <w:r>
        <w:t>安全衛生法令規章與其他要求事項因修訂而影響範圍內之安全衛生管理文件，應由該文件之維護單位隨時更新以符合法令規定。</w:t>
      </w:r>
    </w:p>
    <w:p>
      <w:pPr>
        <w:pStyle w:val="6"/>
        <w:ind w:left="2170" w:hanging="462"/>
      </w:pPr>
      <w:r>
        <w:t>本公司應就安全衛生法規與其他要求之相關資訊，針對在公司控制下之員工及其他利害相關者進行溝通。</w:t>
      </w:r>
    </w:p>
    <w:p>
      <w:pPr>
        <w:pStyle w:val="5"/>
      </w:pPr>
      <w:r>
        <w:t>規劃措施</w:t>
      </w:r>
    </w:p>
    <w:p>
      <w:pPr>
        <w:pStyle w:val="6"/>
        <w:ind w:left="2170" w:hanging="462"/>
      </w:pPr>
      <w:r>
        <w:t>公司為達成安全衛生目標，應依據法規規定，並參照危害辨識及風險評估結果，訂定安全衛生計畫。並將下列計畫內容告知工作者、承攬商及其他相關人員：</w:t>
      </w:r>
    </w:p>
    <w:p>
      <w:pPr>
        <w:pStyle w:val="7"/>
        <w:ind w:left="2506" w:hanging="280"/>
      </w:pPr>
      <w:r>
        <w:t>安全衛生計畫之類型及內容，應參酌工程特性依據相關法令規定辦理。</w:t>
      </w:r>
    </w:p>
    <w:p>
      <w:pPr>
        <w:pStyle w:val="7"/>
        <w:ind w:left="2506" w:hanging="280"/>
      </w:pPr>
      <w:r>
        <w:t>安全衛生計畫應配合工程施工計畫訂定，並經常檢討推動狀況及時修正補充。</w:t>
      </w:r>
    </w:p>
    <w:p>
      <w:pPr>
        <w:pStyle w:val="6"/>
        <w:ind w:left="2170" w:hanging="462"/>
      </w:pPr>
      <w:r>
        <w:t>工務所為達成安全衛生目標，應依據法令規定及公司管理部門所訂安全衛生計畫，另行訂定工程安全衛生實施計畫。以配合工程推動執行一定期間內之工地安全衛生管理、教育訓練、自主檢查及其他相關事項，並將計畫內容告知工作者、承攬商及其他相關人員，以落實執行。</w:t>
      </w:r>
    </w:p>
    <w:p/>
    <w:p>
      <w:pPr>
        <w:pStyle w:val="3"/>
      </w:pPr>
      <w:bookmarkStart w:id="62" w:name="_Toc522793803"/>
      <w:r>
        <w:t>職安衛目標與達成目標之規劃</w:t>
      </w:r>
      <w:bookmarkEnd w:id="62"/>
    </w:p>
    <w:p>
      <w:pPr>
        <w:spacing w:line="360" w:lineRule="auto"/>
        <w:ind w:left="1118" w:leftChars="466" w:firstLine="1"/>
      </w:pPr>
      <w:r>
        <w:t>為確保職業安全衛生管理系統有效運作，擬定之安衛目標及管理方案能有效被執行並達到預期效益，應制定安衛目標及管理方案作業程序。</w:t>
      </w:r>
    </w:p>
    <w:p>
      <w:pPr>
        <w:pStyle w:val="5"/>
      </w:pPr>
      <w:r>
        <w:t>安衛目標之訂定應符合下列原則：</w:t>
      </w:r>
    </w:p>
    <w:p>
      <w:pPr>
        <w:pStyle w:val="6"/>
        <w:ind w:left="2170" w:hanging="462"/>
      </w:pPr>
      <w:r>
        <w:t>與職業健康與安全政策一致。</w:t>
      </w:r>
    </w:p>
    <w:p>
      <w:pPr>
        <w:pStyle w:val="6"/>
        <w:ind w:left="2170" w:hanging="462"/>
      </w:pPr>
      <w:r>
        <w:t>優先改善風險（依序為消除、取代、工程管制措施、標示／警告及／或行政管制、人員防護設備）。</w:t>
      </w:r>
    </w:p>
    <w:p>
      <w:pPr>
        <w:pStyle w:val="6"/>
        <w:ind w:left="2170" w:hanging="462"/>
      </w:pPr>
      <w:r>
        <w:t>法規符合狀況。</w:t>
      </w:r>
    </w:p>
    <w:p>
      <w:pPr>
        <w:pStyle w:val="6"/>
        <w:ind w:left="2170" w:hanging="462"/>
      </w:pPr>
      <w:r>
        <w:t>技術、業務與財務狀況。</w:t>
      </w:r>
    </w:p>
    <w:p>
      <w:pPr>
        <w:pStyle w:val="6"/>
        <w:ind w:left="2170" w:hanging="462"/>
      </w:pPr>
      <w:r>
        <w:t>職業安全衛生委員會決策。</w:t>
      </w:r>
    </w:p>
    <w:p>
      <w:pPr>
        <w:pStyle w:val="6"/>
        <w:ind w:left="2170" w:hanging="462"/>
      </w:pPr>
      <w:r>
        <w:t>公司內部及外部利害相關者要求。</w:t>
      </w:r>
    </w:p>
    <w:p>
      <w:pPr>
        <w:pStyle w:val="5"/>
      </w:pPr>
      <w:r>
        <w:t>安全衛生管理方案實施應考慮下列方式：</w:t>
      </w:r>
    </w:p>
    <w:p>
      <w:pPr>
        <w:pStyle w:val="6"/>
        <w:ind w:left="2170" w:hanging="462"/>
      </w:pPr>
      <w:r>
        <w:t>應明確規定執行方法、執行時程與權責分工項目。</w:t>
      </w:r>
    </w:p>
    <w:p>
      <w:pPr>
        <w:pStyle w:val="6"/>
        <w:ind w:left="2170" w:hanging="462"/>
      </w:pPr>
      <w:r>
        <w:t>配合本公司技術與資源可行性評估展開執行。</w:t>
      </w:r>
    </w:p>
    <w:p>
      <w:pPr>
        <w:pStyle w:val="6"/>
        <w:ind w:left="2170" w:hanging="462"/>
      </w:pPr>
      <w:r>
        <w:t>為確保執行成果，應定期查核方案執行狀況，審查現行之管理方案之落實度與可行性，必要時針對管理方案進行修訂或進行不符合狀況之矯正措施。</w:t>
      </w:r>
    </w:p>
    <w:p>
      <w:pPr>
        <w:pStyle w:val="6"/>
        <w:ind w:left="2170" w:hanging="462"/>
      </w:pPr>
      <w:r>
        <w:t>權責單位主管負責審查各管理方案之工作內容與相關規範，必要時召開會議或會簽各相關單位，陳核安全衛生管理代表核准後實施。</w:t>
      </w:r>
    </w:p>
    <w:p>
      <w:pPr>
        <w:pStyle w:val="6"/>
        <w:ind w:left="2170" w:hanging="462"/>
      </w:pPr>
      <w:r>
        <w:t>依安全衛生管理方案中所規劃之權責人員與頻率，執行成效追蹤。</w:t>
      </w:r>
    </w:p>
    <w:p>
      <w:pPr>
        <w:pStyle w:val="5"/>
      </w:pPr>
      <w:r>
        <w:t>安衛目標管理方案修訂原則：</w:t>
      </w:r>
    </w:p>
    <w:p>
      <w:pPr>
        <w:pStyle w:val="6"/>
        <w:ind w:left="2170" w:hanging="462"/>
      </w:pPr>
      <w:r>
        <w:t xml:space="preserve"> 管理方案執行完畢後，</w:t>
      </w:r>
      <w:r>
        <w:rPr>
          <w:rFonts w:hint="eastAsia"/>
        </w:rPr>
        <w:t>該風險被重新鑑別未達到可接受風險時</w:t>
      </w:r>
      <w:r>
        <w:t>。</w:t>
      </w:r>
    </w:p>
    <w:p>
      <w:pPr>
        <w:pStyle w:val="6"/>
        <w:ind w:left="2170" w:hanging="462"/>
      </w:pPr>
      <w:r>
        <w:t xml:space="preserve"> 重大職業健康與安全政策變更時。</w:t>
      </w:r>
    </w:p>
    <w:p>
      <w:pPr>
        <w:pStyle w:val="6"/>
        <w:ind w:left="2170" w:hanging="462"/>
      </w:pPr>
      <w:r>
        <w:t>重大安全衛生風險變更時。</w:t>
      </w:r>
    </w:p>
    <w:p>
      <w:pPr>
        <w:pStyle w:val="6"/>
        <w:ind w:left="2170" w:hanging="462"/>
      </w:pPr>
      <w:r>
        <w:t xml:space="preserve"> 法規變更經判斷有直接影響時。</w:t>
      </w:r>
    </w:p>
    <w:p>
      <w:pPr>
        <w:pStyle w:val="6"/>
        <w:ind w:left="2170" w:hanging="462"/>
      </w:pPr>
      <w:r>
        <w:t>執行進度嚴重落後時，應重新提出新的管理方案進度表。</w:t>
      </w:r>
    </w:p>
    <w:p>
      <w:pPr>
        <w:pStyle w:val="5"/>
      </w:pPr>
      <w:r>
        <w:t>經評估安衛不可接受風險及法規查核不符合事項，應訂定安衛目標及管理方案　　並提出目標管理方案評估表與進度表。</w:t>
      </w:r>
    </w:p>
    <w:p>
      <w:pPr>
        <w:pStyle w:val="5"/>
      </w:pPr>
      <w:r>
        <w:t>管理方案之目標評估內容須符合法規與其他要求事項，並考量技術性作業、財　　務狀況、作業及業務上之要求事項，以及利害相關者觀點，並經相關單位主管　　審核評估該方案執行之可行性。</w:t>
      </w:r>
    </w:p>
    <w:p>
      <w:pPr>
        <w:pStyle w:val="5"/>
      </w:pPr>
      <w:r>
        <w:t xml:space="preserve"> 依公司年度目標擬訂作業時程，制定下一年度之安衛目標。</w:t>
      </w:r>
    </w:p>
    <w:p>
      <w:pPr>
        <w:pStyle w:val="5"/>
      </w:pPr>
      <w:r>
        <w:t xml:space="preserve"> 定期追蹤考核目標執行成效，對未達目標應提出改善措施、善後處理方式及預　　防方法。</w:t>
      </w:r>
    </w:p>
    <w:p>
      <w:pPr>
        <w:pStyle w:val="5"/>
      </w:pPr>
      <w:r>
        <w:t>工務所應依據公司所定安全衛生政策及目標，參酌工程實施特性，訂定工地執行之安全衛生目標</w:t>
      </w:r>
      <w:r>
        <w:rPr>
          <w:rFonts w:hint="eastAsia"/>
        </w:rPr>
        <w:t>，</w:t>
      </w:r>
      <w:r>
        <w:t>並告知工作者及各承攬商及相關人員等知悉。</w:t>
      </w:r>
    </w:p>
    <w:p>
      <w:pPr>
        <w:pStyle w:val="2"/>
      </w:pPr>
      <w:bookmarkStart w:id="63" w:name="_Toc522793804"/>
      <w:r>
        <w:t>支持</w:t>
      </w:r>
      <w:bookmarkEnd w:id="63"/>
    </w:p>
    <w:p>
      <w:pPr>
        <w:pStyle w:val="3"/>
      </w:pPr>
      <w:bookmarkStart w:id="64" w:name="_Toc522793805"/>
      <w:r>
        <w:t>資源</w:t>
      </w:r>
      <w:bookmarkEnd w:id="64"/>
    </w:p>
    <w:p>
      <w:pPr>
        <w:pStyle w:val="5"/>
      </w:pPr>
      <w:r>
        <w:t>建立職安衛管理系統之管理責任及執行時所需資源，以支援本公司職安衛管理系統之運作。</w:t>
      </w:r>
    </w:p>
    <w:p>
      <w:pPr>
        <w:pStyle w:val="5"/>
      </w:pPr>
      <w:r>
        <w:t>最高階主管階層應建立、實施、維持及改善安全衛生管理系統所需要的資源(包括人力資源與專門技能、組織的基礎設施、技術及財務之資源之可取用性。</w:t>
      </w:r>
    </w:p>
    <w:p>
      <w:pPr>
        <w:pStyle w:val="5"/>
      </w:pPr>
      <w:r>
        <w:t>本公司應安排員工及其安全衛生代表，使其有時間及資源積極參與安全衛生管理系統之組成、規劃及實施、評估與改進措施。</w:t>
      </w:r>
    </w:p>
    <w:p>
      <w:pPr>
        <w:pStyle w:val="3"/>
      </w:pPr>
      <w:bookmarkStart w:id="65" w:name="_Toc522793806"/>
      <w:r>
        <w:t>適任性(專業能力)</w:t>
      </w:r>
      <w:bookmarkEnd w:id="65"/>
    </w:p>
    <w:p>
      <w:pPr>
        <w:spacing w:line="360" w:lineRule="auto"/>
        <w:ind w:left="1133" w:leftChars="472" w:firstLine="1"/>
      </w:pPr>
      <w:r>
        <w:t>為加強員工本職學能，本公司應建置安全衛生教育訓練實施人員教育訓練，增進員工安衛認知與能力，以勝任其工作，並保留相關紀錄。</w:t>
      </w:r>
    </w:p>
    <w:p>
      <w:pPr>
        <w:pStyle w:val="5"/>
      </w:pPr>
      <w:r>
        <w:t>本公司對各項從業人員資格認定應符合下列管理原則：</w:t>
      </w:r>
    </w:p>
    <w:p>
      <w:pPr>
        <w:pStyle w:val="6"/>
        <w:ind w:left="2170" w:hanging="462"/>
      </w:pPr>
      <w:r>
        <w:t>特別技能或知識的工作場所，應由已接受過特定訓練的員工來執行工作。</w:t>
      </w:r>
    </w:p>
    <w:p>
      <w:pPr>
        <w:pStyle w:val="6"/>
        <w:ind w:left="2170" w:hanging="462"/>
      </w:pPr>
      <w:r>
        <w:t>對可能產生重大安衛風險之工作，須由擁有足夠教育訓練與經驗之員工擔任；辦理訓練時，應考慮員工之責任、能力、讀寫程度，以及所需面對之安衛風險。</w:t>
      </w:r>
    </w:p>
    <w:p>
      <w:pPr>
        <w:pStyle w:val="6"/>
        <w:ind w:left="2170" w:hanging="462"/>
      </w:pPr>
      <w:r>
        <w:t>執行安衛稽核者，應指派曾受過安衛稽核課程之合格人員擔任。</w:t>
      </w:r>
    </w:p>
    <w:p>
      <w:pPr>
        <w:pStyle w:val="6"/>
        <w:ind w:left="2170" w:hanging="462"/>
      </w:pPr>
      <w:r>
        <w:t>本公司應提供必要員工職前及在職訓練，所有訓練提供應為免費且訓練執行儘可能於員工正常上班時間進行。</w:t>
      </w:r>
    </w:p>
    <w:p>
      <w:pPr>
        <w:pStyle w:val="5"/>
      </w:pPr>
      <w:r>
        <w:t>教育訓練之體系與各單位權責：</w:t>
      </w:r>
    </w:p>
    <w:p>
      <w:pPr>
        <w:pStyle w:val="6"/>
        <w:ind w:left="2170" w:hanging="462"/>
      </w:pPr>
      <w:r>
        <w:t>本公司應建立員工教育訓練程序配合公司整體業務需求，辦理安衛教育訓練。依訓練有效性評估結果，對於所鑑別出訓練需求而提供訓練或採取其他措施進行檢討與修正。</w:t>
      </w:r>
    </w:p>
    <w:p>
      <w:pPr>
        <w:pStyle w:val="6"/>
        <w:ind w:left="2170" w:hanging="462"/>
      </w:pPr>
      <w:r>
        <w:t>新進／在職員工與作業變更前之「一般安全衛生教育訓練」，應由專業人員執行，安全衛生相關內部教育訓練應儘量於工作時間內進行。</w:t>
      </w:r>
    </w:p>
    <w:p>
      <w:pPr>
        <w:pStyle w:val="6"/>
        <w:ind w:left="2170" w:hanging="462"/>
      </w:pPr>
      <w:r>
        <w:t>各單位執行安衛業務時應確認人員證照與資格之取得，並進行規劃，由安衛權責單位據以執行追蹤，並由各工程主管單位訂定人員調度計畫，由人資單位辦理記錄相關證照與資格，並檢討訓練成效據以提供改善意見。</w:t>
      </w:r>
    </w:p>
    <w:p>
      <w:pPr>
        <w:pStyle w:val="6"/>
        <w:ind w:left="2170" w:hanging="462"/>
      </w:pPr>
      <w:r>
        <w:t>新進人員訓練由人資單位及相關部門辦理。</w:t>
      </w:r>
    </w:p>
    <w:p>
      <w:pPr>
        <w:pStyle w:val="6"/>
        <w:ind w:left="2170" w:hanging="462"/>
      </w:pPr>
      <w:r>
        <w:t>工作人員在職及作業變更前之訓練由各執行單位辦理，內容包含變更之目的、變更後之潛在風險及相關控制措施，以及變更後之正常、異常或緊急狀況之操作或處理方法；確認人員在工作場所作業前已接受安全與衛生教育訓練或經驗，並了解個人作業或活動所存在的安衛現況與潛在的風險。</w:t>
      </w:r>
    </w:p>
    <w:p>
      <w:pPr>
        <w:pStyle w:val="6"/>
        <w:ind w:left="2170" w:hanging="462"/>
      </w:pPr>
      <w:r>
        <w:t>執行單位應每年定期檢討教育訓練之執行及落實度。</w:t>
      </w:r>
    </w:p>
    <w:p/>
    <w:p>
      <w:pPr>
        <w:pStyle w:val="3"/>
      </w:pPr>
      <w:bookmarkStart w:id="66" w:name="_Toc522793807"/>
      <w:r>
        <w:t>認知</w:t>
      </w:r>
      <w:bookmarkEnd w:id="66"/>
    </w:p>
    <w:p>
      <w:pPr>
        <w:pStyle w:val="5"/>
      </w:pPr>
      <w:r>
        <w:t>本公司應訓練員工認知符合下列管理原則：</w:t>
      </w:r>
    </w:p>
    <w:p>
      <w:pPr>
        <w:pStyle w:val="6"/>
        <w:ind w:left="2170" w:hanging="462"/>
      </w:pPr>
      <w:r>
        <w:t>認知職業健康與安全政策與管理系統要求。</w:t>
      </w:r>
    </w:p>
    <w:p>
      <w:pPr>
        <w:pStyle w:val="6"/>
        <w:ind w:left="2170" w:hanging="462"/>
      </w:pPr>
      <w:r>
        <w:t>鑑別作業可能造成的實際或潛在重大的安衛風險之作業，並提昇個人工作效益。</w:t>
      </w:r>
    </w:p>
    <w:p>
      <w:pPr>
        <w:pStyle w:val="6"/>
        <w:ind w:left="2170" w:hanging="462"/>
      </w:pPr>
      <w:r>
        <w:t>為達成符合職業健康與安全政策、目標及安衛管理系統之要求，個人須擔負的責任，特別是緊急應變需求。</w:t>
      </w:r>
    </w:p>
    <w:p>
      <w:pPr>
        <w:pStyle w:val="6"/>
        <w:ind w:left="2170" w:hanging="462"/>
      </w:pPr>
      <w:r>
        <w:t>未依作業規定時可能造成之後果。</w:t>
      </w:r>
    </w:p>
    <w:p>
      <w:pPr>
        <w:pStyle w:val="3"/>
      </w:pPr>
      <w:bookmarkStart w:id="67" w:name="_Toc522793808"/>
      <w:r>
        <w:t>溝通</w:t>
      </w:r>
      <w:bookmarkEnd w:id="67"/>
    </w:p>
    <w:p>
      <w:pPr>
        <w:pStyle w:val="5"/>
      </w:pPr>
      <w:r>
        <w:t>本公司應建立職安衛溝通管理機制，以確認適切的安全衛生訊息已向員工及其他利害相關者雙向溝通，並能規範如何接受、文件化及回應有關來自外部利害關係者之相關訊息。</w:t>
      </w:r>
    </w:p>
    <w:p>
      <w:pPr>
        <w:pStyle w:val="5"/>
      </w:pPr>
      <w:r>
        <w:t>藉由內部網站、內部公告、資訊平台、員工刊物、工作會議、協議組織會議與面談紀錄與電子郵件等各種適當的溝通工具，確保公司內各部門能有效運用這些溝通管道或方法，針對安衛管理系統之成效進行溝通。</w:t>
      </w:r>
    </w:p>
    <w:p>
      <w:pPr>
        <w:pStyle w:val="5"/>
      </w:pPr>
      <w:r>
        <w:t>對外部溝通使用文宣、外部會議、協議組織會議、教育訓練、資訊網站或其他相關方式等資訊進行，</w:t>
      </w:r>
      <w:r>
        <w:rPr>
          <w:snapToGrid w:val="0"/>
        </w:rPr>
        <w:t>藉此與業主、承攬商、工作者及公眾與相關機構等利害相關者溝通，以宣示承諾決心及積極行動展現。</w:t>
      </w:r>
    </w:p>
    <w:p>
      <w:pPr>
        <w:pStyle w:val="5"/>
      </w:pPr>
      <w:r>
        <w:t>外部利害相關團體所反應之安衛管理問題或抱怨事項，由相關單位或接收人員接收與回應；對外部利害相關團體溝通之結果，必須做成紀錄及適當的處置。</w:t>
      </w:r>
    </w:p>
    <w:p>
      <w:r>
        <w:br w:type="page"/>
      </w:r>
    </w:p>
    <w:p>
      <w:pPr>
        <w:pStyle w:val="3"/>
      </w:pPr>
      <w:bookmarkStart w:id="68" w:name="_Toc522793809"/>
      <w:r>
        <w:t>文件化資訊</w:t>
      </w:r>
      <w:bookmarkEnd w:id="68"/>
    </w:p>
    <w:p>
      <w:pPr>
        <w:spacing w:line="360" w:lineRule="auto"/>
        <w:ind w:left="1133" w:leftChars="472" w:firstLine="1"/>
        <w:rPr>
          <w:snapToGrid w:val="0"/>
        </w:rPr>
      </w:pPr>
      <w:r>
        <w:rPr>
          <w:snapToGrid w:val="0"/>
        </w:rPr>
        <w:t>為明訂安衛管理系統之各項管理與作業規定，建立安衛管理系統文件，以書面</w:t>
      </w:r>
      <w:r>
        <w:t>資訊</w:t>
      </w:r>
      <w:r>
        <w:rPr>
          <w:snapToGrid w:val="0"/>
        </w:rPr>
        <w:t>方式說明，供作相關文件指引。</w:t>
      </w:r>
    </w:p>
    <w:p>
      <w:pPr>
        <w:pStyle w:val="5"/>
      </w:pPr>
      <w:r>
        <w:t>文件與資料管制</w:t>
      </w:r>
    </w:p>
    <w:p>
      <w:pPr>
        <w:spacing w:line="360" w:lineRule="auto"/>
        <w:ind w:left="1699" w:leftChars="708" w:firstLine="1"/>
      </w:pPr>
      <w:r>
        <w:t>為使安衛管理系統能有效運作並管制相關文件與資料，本公司應建立文件管制程序採公告或分發方式至相關作業場所，並依據下列原則，管制安全衛生管理系統所要求之各種文件：</w:t>
      </w:r>
    </w:p>
    <w:p>
      <w:pPr>
        <w:pStyle w:val="6"/>
        <w:ind w:left="2170" w:hanging="462"/>
      </w:pPr>
      <w:r>
        <w:t>安衛文件發行前確實審核其適切性。</w:t>
      </w:r>
    </w:p>
    <w:p>
      <w:pPr>
        <w:pStyle w:val="6"/>
        <w:ind w:left="2170" w:hanging="462"/>
      </w:pPr>
      <w:r>
        <w:t>依照需要審查、修訂及重新核准文件。</w:t>
      </w:r>
    </w:p>
    <w:p>
      <w:pPr>
        <w:pStyle w:val="6"/>
        <w:ind w:left="2170" w:hanging="462"/>
      </w:pPr>
      <w:r>
        <w:t>識別安衛文件的更新與目前的版次狀況。</w:t>
      </w:r>
    </w:p>
    <w:p>
      <w:pPr>
        <w:pStyle w:val="6"/>
        <w:ind w:left="2170" w:hanging="462"/>
      </w:pPr>
      <w:r>
        <w:t>確保相關安衛文件版本在使用場所可被取得。</w:t>
      </w:r>
    </w:p>
    <w:p>
      <w:pPr>
        <w:pStyle w:val="6"/>
        <w:ind w:left="2170" w:hanging="462"/>
      </w:pPr>
      <w:r>
        <w:t>確保安衛文件保持清楚易讀、容易識別。</w:t>
      </w:r>
    </w:p>
    <w:p>
      <w:pPr>
        <w:pStyle w:val="6"/>
        <w:ind w:left="2170" w:hanging="462"/>
      </w:pPr>
      <w:r>
        <w:t>確保外來文件之識別與分發之管制。</w:t>
      </w:r>
    </w:p>
    <w:p>
      <w:pPr>
        <w:pStyle w:val="6"/>
        <w:ind w:left="2170" w:hanging="462"/>
      </w:pPr>
      <w:r>
        <w:t>防止過期失效的安衛文件被誤用，若需保留過期文件，則應適當標示。</w:t>
      </w:r>
    </w:p>
    <w:p>
      <w:pPr>
        <w:pStyle w:val="6"/>
        <w:ind w:left="2170" w:hanging="462"/>
      </w:pPr>
      <w:r>
        <w:t>確保文件能傳達到所有有關人員。</w:t>
      </w:r>
    </w:p>
    <w:p>
      <w:pPr>
        <w:pStyle w:val="6"/>
        <w:ind w:left="2170" w:hanging="462"/>
      </w:pPr>
      <w:r>
        <w:t>職安單位應建立公司安衛系統文件，並於內部網站公佈所有安衛系統文件。</w:t>
      </w:r>
    </w:p>
    <w:p>
      <w:pPr>
        <w:pStyle w:val="5"/>
      </w:pPr>
      <w:r>
        <w:t>職安衛管理系統說明：本公司職安衛管理系統文件共分為四階：</w:t>
      </w:r>
    </w:p>
    <w:p>
      <w:pPr>
        <w:pStyle w:val="6"/>
        <w:ind w:left="2170" w:hanging="462"/>
      </w:pPr>
      <w:r>
        <w:t>第一階: 職業健康與安全政策-本公司安衛管理之整體承蹃、目標與方針。</w:t>
      </w:r>
    </w:p>
    <w:p>
      <w:pPr>
        <w:pStyle w:val="6"/>
        <w:ind w:left="2170" w:hanging="462"/>
      </w:pPr>
      <w:r>
        <w:t>第二階: 安衛手冊-本公司安衛管理系統主要管理原則。</w:t>
      </w:r>
    </w:p>
    <w:p>
      <w:pPr>
        <w:pStyle w:val="6"/>
        <w:ind w:left="2170" w:hanging="462"/>
      </w:pPr>
      <w:r>
        <w:t>第三階: 規章辦法-本公司安衛作業流程中各項作業之工作項目、執行步驟、工作權責與相關之表單或紀錄。</w:t>
      </w:r>
    </w:p>
    <w:p>
      <w:pPr>
        <w:pStyle w:val="6"/>
        <w:ind w:left="2170" w:hanging="462"/>
        <w:rPr>
          <w:snapToGrid w:val="0"/>
        </w:rPr>
      </w:pPr>
      <w:r>
        <w:t>第四階: 安衛相關計畫及表單-為執行職安衛管理系統，各項工作時所產生之</w:t>
      </w:r>
      <w:r>
        <w:rPr>
          <w:snapToGrid w:val="0"/>
        </w:rPr>
        <w:t>計畫或說明工作結果或記錄所執行工作項目之相關文件。</w:t>
      </w:r>
    </w:p>
    <w:p>
      <w:pPr>
        <w:pStyle w:val="5"/>
      </w:pPr>
      <w:r>
        <w:t>紀錄管制</w:t>
      </w:r>
    </w:p>
    <w:p>
      <w:pPr>
        <w:spacing w:line="360" w:lineRule="auto"/>
        <w:ind w:left="1699" w:leftChars="708" w:firstLine="1"/>
      </w:pPr>
      <w:r>
        <w:t>為確保各單位之安衛紀錄的鑑別、保護、檢索、保留及處置之各項作業能夠有所遵循，以作為安衛管理系統運作的證據。本公司應建立紀錄管制程序，其管理原則包括：</w:t>
      </w:r>
    </w:p>
    <w:p>
      <w:pPr>
        <w:pStyle w:val="6"/>
        <w:ind w:left="2170" w:hanging="462"/>
      </w:pPr>
      <w:r>
        <w:t>訂定紀錄的填寫、收集運用、保管權責、保存期限與保存方法。</w:t>
      </w:r>
    </w:p>
    <w:p>
      <w:pPr>
        <w:pStyle w:val="6"/>
        <w:ind w:left="2170" w:hanging="462"/>
      </w:pPr>
      <w:r>
        <w:t>明訂有關紀錄之鑑別、保護、檢索、</w:t>
      </w:r>
      <w:r>
        <w:rPr>
          <w:rFonts w:hint="eastAsia"/>
        </w:rPr>
        <w:t>索引保留及處置之各項作業規定，並確實建立及保存各項安衛紀錄。</w:t>
      </w:r>
    </w:p>
    <w:p>
      <w:pPr>
        <w:pStyle w:val="6"/>
        <w:ind w:left="2170" w:hanging="462"/>
      </w:pPr>
      <w:r>
        <w:t>各項紀錄應依政府相關法令、契約之規定，並考慮可追溯性及知識管理之需要，訂定保存年限。</w:t>
      </w:r>
    </w:p>
    <w:p>
      <w:pPr>
        <w:pStyle w:val="6"/>
        <w:ind w:left="2170" w:hanging="462"/>
      </w:pPr>
      <w:r>
        <w:t>定期清點，並依其保存之期限將過時失效的紀錄銷毀。</w:t>
      </w:r>
    </w:p>
    <w:p>
      <w:pPr>
        <w:pStyle w:val="2"/>
        <w:ind w:left="567"/>
      </w:pPr>
      <w:bookmarkStart w:id="69" w:name="_Toc522793810"/>
      <w:r>
        <w:t>運作</w:t>
      </w:r>
      <w:bookmarkEnd w:id="69"/>
    </w:p>
    <w:p>
      <w:pPr>
        <w:pStyle w:val="5"/>
      </w:pPr>
      <w:r>
        <w:t>作業規劃與管制</w:t>
      </w:r>
    </w:p>
    <w:p>
      <w:pPr>
        <w:pStyle w:val="6"/>
        <w:ind w:left="2170" w:hanging="462"/>
      </w:pPr>
      <w:r>
        <w:t>作業管制</w:t>
      </w:r>
    </w:p>
    <w:p>
      <w:pPr>
        <w:spacing w:line="360" w:lineRule="auto"/>
        <w:ind w:left="2170" w:leftChars="904" w:firstLine="1"/>
      </w:pPr>
      <w:r>
        <w:t>為確保各項作業活動之執行過程係於既定安衛管理條件下完成，本公司主要係依安全衛生管理相關規定訂定各項作業規範並配合其他規章辦法，作為執行之依據。其作業管制原則茲說明如下：</w:t>
      </w:r>
    </w:p>
    <w:p>
      <w:pPr>
        <w:pStyle w:val="7"/>
        <w:ind w:left="2506" w:hanging="280"/>
      </w:pPr>
      <w:r>
        <w:t>建立並維持文件化程序，以避免造成偏離職業健康與安全政策、安衛目標之情形，於程序中明定作業準則與規定。</w:t>
      </w:r>
    </w:p>
    <w:p>
      <w:pPr>
        <w:pStyle w:val="7"/>
        <w:ind w:left="2506" w:hanging="280"/>
      </w:pPr>
      <w:r>
        <w:t xml:space="preserve">訓練施工人員及任用合格人員，以熟練施工技能及過程中安全衛生風險的控制。 </w:t>
      </w:r>
      <w:r>
        <w:br w:type="textWrapping"/>
      </w:r>
      <w:r>
        <w:t xml:space="preserve">  </w:t>
      </w:r>
    </w:p>
    <w:p>
      <w:pPr>
        <w:pStyle w:val="7"/>
        <w:ind w:left="2506" w:hanging="280"/>
      </w:pPr>
      <w:r>
        <w:t>確保施工機具之安全性，定期進行設備保養維護。</w:t>
      </w:r>
    </w:p>
    <w:p>
      <w:pPr>
        <w:pStyle w:val="7"/>
        <w:ind w:left="2506" w:hanging="280"/>
      </w:pPr>
      <w:r>
        <w:t>確保使用合格之安衛設備、設施進行施工。</w:t>
      </w:r>
    </w:p>
    <w:p>
      <w:pPr>
        <w:pStyle w:val="7"/>
        <w:ind w:left="2506" w:hanging="280"/>
      </w:pPr>
      <w:r>
        <w:t>研發精進施工技術，提昇施工安全。</w:t>
      </w:r>
    </w:p>
    <w:p>
      <w:pPr>
        <w:pStyle w:val="7"/>
        <w:ind w:left="2506" w:hanging="280"/>
      </w:pPr>
      <w:r>
        <w:t>作業發生異常時，須依風險管理相關規定管制、追蹤與修正。</w:t>
      </w:r>
    </w:p>
    <w:p>
      <w:pPr>
        <w:pStyle w:val="7"/>
        <w:ind w:left="2506" w:hanging="280"/>
      </w:pPr>
      <w:r>
        <w:t>對工作場所、作業流程及機械設備操作等作業人員其能力之適用，建立並維持適當的程序，以期消弭發生源或減低安全衛生風險。</w:t>
      </w:r>
    </w:p>
    <w:p>
      <w:pPr>
        <w:pStyle w:val="7"/>
        <w:ind w:left="2506" w:hanging="280"/>
      </w:pPr>
      <w:r>
        <w:t>各施工階段均需有適切之自主檢查管制、識別或記錄，以資鑑別及追溯改善；承攬商應依據工務所之各項規定施工。</w:t>
      </w:r>
    </w:p>
    <w:p>
      <w:pPr>
        <w:pStyle w:val="7"/>
        <w:ind w:left="2506" w:hanging="280"/>
      </w:pPr>
      <w:r>
        <w:t>工區作業場所內應予維護並執行門禁管制。</w:t>
      </w:r>
    </w:p>
    <w:p>
      <w:pPr>
        <w:pStyle w:val="7"/>
        <w:ind w:left="2506" w:hanging="280"/>
      </w:pPr>
      <w:r>
        <w:t>所有物料、成品及設備應有安全儲存場所及適當之作業程序，以防止其在待用或運搬期中之損傷、變質、遺失並定期掌握庫存品之數量及品質及確保安全。</w:t>
      </w:r>
    </w:p>
    <w:p>
      <w:pPr>
        <w:pStyle w:val="7"/>
        <w:ind w:left="2506" w:hanging="280"/>
      </w:pPr>
      <w:r>
        <w:t>公司相關部門及工務所對安全衛生設施設置應依規定指定專人執行安全檢查，如有發現缺失危害，應立即區隔標示管制並列管與改善，相關紀錄依規定年限保存。</w:t>
      </w:r>
    </w:p>
    <w:p>
      <w:pPr>
        <w:pStyle w:val="7"/>
        <w:ind w:left="2506" w:hanging="280"/>
      </w:pPr>
      <w:r>
        <w:t>公司相關部門及工務所應辨識工作場所之危險物、有害物及管制並留存紀錄。</w:t>
      </w:r>
    </w:p>
    <w:p>
      <w:pPr>
        <w:pStyle w:val="7"/>
        <w:ind w:left="2506" w:hanging="280"/>
      </w:pPr>
      <w:r>
        <w:t>工作場所危害物之標示應張貼於明顯處，內容包括：圖示、主要成分、危害警告訊息，危害防範措施；貯存處所應考慮於緊急時便於搬出，附近不得任意放置其他物品。</w:t>
      </w:r>
    </w:p>
    <w:p>
      <w:pPr>
        <w:pStyle w:val="7"/>
        <w:ind w:left="2506" w:hanging="280"/>
      </w:pPr>
      <w:r>
        <w:t>各單位依據規劃執行員工之健康管理及維護員工身心健康。</w:t>
      </w:r>
    </w:p>
    <w:p>
      <w:pPr>
        <w:pStyle w:val="6"/>
        <w:ind w:left="2170" w:hanging="462"/>
      </w:pPr>
      <w:r>
        <w:t>變更管理</w:t>
      </w:r>
    </w:p>
    <w:p>
      <w:pPr>
        <w:pStyle w:val="7"/>
        <w:ind w:left="2506" w:hanging="280"/>
      </w:pPr>
      <w:r>
        <w:t>各工務所於施工過程中如有重大改變或增加工法，應就其工項及其相關工程，實施變更之危害辨識及風險評估，確認提出之改善及控制措施已符合法令標準，並確保其有效性且據以執行。</w:t>
      </w:r>
    </w:p>
    <w:p>
      <w:pPr>
        <w:pStyle w:val="7"/>
        <w:ind w:left="2506" w:hanging="280"/>
      </w:pPr>
      <w:r>
        <w:t>各部門單位應依據危害鑑別、風險評鑑及風險控制規劃程序鑑別需進行作業管制之不可接受風險之相關作業或活動，以管理安全衛生風險，這應包括變更管理。同時也應確保與變更有關之人員均被告知或接受相關之訓練，且與變更有關之文件資料亦應一併檢討修正。</w:t>
      </w:r>
    </w:p>
    <w:p/>
    <w:p>
      <w:pPr>
        <w:pStyle w:val="6"/>
        <w:ind w:left="2170" w:hanging="462"/>
      </w:pPr>
      <w:r>
        <w:t>採購</w:t>
      </w:r>
    </w:p>
    <w:p>
      <w:pPr>
        <w:pStyle w:val="7"/>
        <w:ind w:left="2506" w:hanging="280"/>
      </w:pPr>
      <w:r>
        <w:t>確保在採購貨物與接受服務前，確認供應商與承攬商符合安全衛生相關法令與公司相關安衛要求經辨識、評估及具體化到本公司之採購及租賃說明書中。</w:t>
      </w:r>
    </w:p>
    <w:p>
      <w:pPr>
        <w:pStyle w:val="7"/>
        <w:ind w:left="2506" w:hanging="280"/>
      </w:pPr>
      <w:r>
        <w:t>有關採購的部品、設備及服務之管制，同時把相關管制要求傳達給供應商及協力廠商。</w:t>
      </w:r>
    </w:p>
    <w:p>
      <w:pPr>
        <w:pStyle w:val="6"/>
        <w:ind w:left="2170" w:hanging="462"/>
      </w:pPr>
      <w:r>
        <w:t>承攬商</w:t>
      </w:r>
    </w:p>
    <w:p>
      <w:pPr>
        <w:pStyle w:val="7"/>
        <w:ind w:left="2506" w:hanging="280"/>
      </w:pPr>
      <w:r>
        <w:t>確保承攬商的技術與管理能力，並將施工中之安全衛生相關管理規定明確告知廠商，以利其納入工程管理之考量。</w:t>
      </w:r>
    </w:p>
    <w:p>
      <w:pPr>
        <w:pStyle w:val="7"/>
        <w:ind w:left="2506" w:hanging="280"/>
      </w:pPr>
      <w:r>
        <w:t>確保各項安全衛生要求適用於承攬商及施工人員，作業開始前與承攬商建立有效危害溝通與其預防與控制措施等協調機制。</w:t>
      </w:r>
    </w:p>
    <w:p>
      <w:pPr>
        <w:pStyle w:val="7"/>
        <w:ind w:left="2506" w:hanging="280"/>
      </w:pPr>
      <w:r>
        <w:t>對於供應商與承攬商所提供的產品或作業活動，經鑑定其會造成安全衛生風險時，應把相關作業程序與要求傳達到供應商或承攬商，使其在從事相關活動能有效地控制或減少對安全衛生之風險。</w:t>
      </w:r>
    </w:p>
    <w:p>
      <w:pPr>
        <w:pStyle w:val="7"/>
        <w:ind w:left="2506" w:hanging="280"/>
      </w:pPr>
      <w:r>
        <w:t>確保作業開始前，本公司與協力廠商在適當層級建立有效的溝通與協調機制。該機制應包括危害及其預防與控制措施之溝通。</w:t>
      </w:r>
    </w:p>
    <w:p>
      <w:pPr>
        <w:pStyle w:val="7"/>
        <w:ind w:left="2506" w:hanging="280"/>
      </w:pPr>
      <w:r>
        <w:t>在作業開始前和作業過程中，對協力廠商及其員工應提供必要之工作場所安全衛生危害之認知及確認應有之教育訓練。</w:t>
      </w:r>
    </w:p>
    <w:p>
      <w:pPr>
        <w:pStyle w:val="7"/>
        <w:ind w:left="2506" w:hanging="280"/>
      </w:pPr>
      <w:r>
        <w:t>定期監督協力廠商工作場所之安全衛生績效確保協力廠商落實現場安全衛生管理。</w:t>
      </w:r>
    </w:p>
    <w:p>
      <w:pPr>
        <w:pStyle w:val="5"/>
      </w:pPr>
      <w:r>
        <w:t>緊急事件整備與應變</w:t>
      </w:r>
    </w:p>
    <w:p>
      <w:pPr>
        <w:pStyle w:val="6"/>
        <w:ind w:left="2170" w:hanging="462"/>
      </w:pPr>
      <w:r>
        <w:t>為使本公司職安事件、本公司大樓與工地職安事件通報及處理制度化，以便掌握處理時效，降低事件產生之不良影響並建立預警制度與危機處理。</w:t>
      </w:r>
    </w:p>
    <w:p>
      <w:pPr>
        <w:pStyle w:val="6"/>
        <w:ind w:left="2170" w:hanging="462"/>
      </w:pPr>
      <w:r>
        <w:t>職安事件通報及處理方式: 依本公司職安事件、事故等性質及其作業危害特性，制定通報及處理機制，並針對可能發生之意外或緊急狀況作進行有效管理。</w:t>
      </w:r>
    </w:p>
    <w:p>
      <w:pPr>
        <w:pStyle w:val="6"/>
        <w:ind w:left="2170" w:hanging="462"/>
      </w:pPr>
      <w:r>
        <w:t>規劃緊急應變應包含陳述現場急救、醫療救援、消防和疏散工作場所全體人員之措施和步驟及確保在工作場所發生緊急情況時，能提供必要之資訊、內部溝通與協調，以保護全體人員之安全。</w:t>
      </w:r>
    </w:p>
    <w:p>
      <w:pPr>
        <w:pStyle w:val="6"/>
        <w:ind w:left="2170" w:hanging="462"/>
      </w:pPr>
      <w:r>
        <w:t>規劃緊急應變時，應考慮相關利害相關者的需求，如緊急服務提供者或鄰近廠商。如實際可行包括相關利害相關者參與。</w:t>
      </w:r>
    </w:p>
    <w:p>
      <w:pPr>
        <w:pStyle w:val="6"/>
        <w:ind w:left="2170" w:hanging="462"/>
      </w:pPr>
      <w:r>
        <w:t>緊急應變訓練與測試:應就所制定之緊急應變程序對員工施以定期演練，以測試緊急應變程序的有效性及從業人員應變能力，並保存紀錄。</w:t>
      </w:r>
    </w:p>
    <w:p>
      <w:pPr>
        <w:pStyle w:val="6"/>
        <w:ind w:left="2170" w:hanging="462"/>
      </w:pPr>
      <w:r>
        <w:t>緊急事件準備及應變方式之修訂: 遇有意外或緊急狀況發生後，必要時，應重新審查緊急事故準備及應變計畫和程序，檢討搶救及醫療支援系統適切性，並依其所需修訂緊急應變程序。</w:t>
      </w:r>
    </w:p>
    <w:p>
      <w:pPr>
        <w:pStyle w:val="2"/>
      </w:pPr>
      <w:bookmarkStart w:id="70" w:name="_Toc522793811"/>
      <w:r>
        <w:t>績效評估</w:t>
      </w:r>
      <w:bookmarkEnd w:id="70"/>
    </w:p>
    <w:p>
      <w:pPr>
        <w:pStyle w:val="5"/>
      </w:pPr>
      <w:r>
        <w:t>監督、量測、分析及評估</w:t>
      </w:r>
    </w:p>
    <w:p>
      <w:pPr>
        <w:pStyle w:val="6"/>
        <w:ind w:left="2170" w:hanging="462"/>
      </w:pPr>
      <w:r>
        <w:t>本公司應建立安全衛生管理系統績效量測與監督方式。藉由定期之績效量測與監督，確保本公司安衛管理系統之持續性運作。</w:t>
      </w:r>
    </w:p>
    <w:p>
      <w:pPr>
        <w:pStyle w:val="6"/>
        <w:ind w:left="2170" w:hanging="462"/>
      </w:pPr>
      <w:r>
        <w:t>建立安全衛生管理系統績效量測與監督方式時，應符合下列管理原則：</w:t>
      </w:r>
    </w:p>
    <w:p>
      <w:pPr>
        <w:pStyle w:val="7"/>
        <w:ind w:left="2506" w:hanging="280"/>
      </w:pPr>
      <w:r>
        <w:t>依去年度績效指標的審查結果，檢討新年度績效指標及其管理值。</w:t>
      </w:r>
    </w:p>
    <w:p>
      <w:pPr>
        <w:pStyle w:val="7"/>
        <w:ind w:left="2506" w:hanging="280"/>
      </w:pPr>
      <w:r>
        <w:t>本公司安全衛生管理系統之年度績效指標，應包含主動性及被動性績效量測指標，該等指標經本公司安衛管理代表核准後，由各單位據以執行。</w:t>
      </w:r>
    </w:p>
    <w:p>
      <w:pPr>
        <w:pStyle w:val="7"/>
        <w:ind w:left="2506" w:hanging="280"/>
      </w:pPr>
      <w:r>
        <w:t>績效指標盡可能具有可量測數據或紀錄，以進行後續監督控制與追蹤。</w:t>
      </w:r>
    </w:p>
    <w:p>
      <w:pPr>
        <w:pStyle w:val="7"/>
        <w:ind w:left="2506" w:hanging="280"/>
      </w:pPr>
      <w:r>
        <w:t>各執行單位應將績效指標項目，納入日常管理與作業管制。</w:t>
      </w:r>
    </w:p>
    <w:p>
      <w:pPr>
        <w:pStyle w:val="7"/>
        <w:ind w:left="2506" w:hanging="280"/>
      </w:pPr>
      <w:r>
        <w:t>定期彙整各執行單位的績效結果，並將結果提報於主管會議中檢討。</w:t>
      </w:r>
    </w:p>
    <w:p>
      <w:pPr>
        <w:pStyle w:val="7"/>
        <w:ind w:left="2506" w:hanging="280"/>
      </w:pPr>
      <w:r>
        <w:t>各權責單位主管，應定期查核其單位安全衛生目標及管理方案之執行現況。</w:t>
      </w:r>
    </w:p>
    <w:p>
      <w:pPr>
        <w:pStyle w:val="6"/>
        <w:ind w:left="2170" w:hanging="462"/>
      </w:pPr>
      <w:r>
        <w:t>監測設備的管制原則</w:t>
      </w:r>
    </w:p>
    <w:p>
      <w:pPr>
        <w:pStyle w:val="7"/>
        <w:ind w:left="2506" w:hanging="280"/>
      </w:pPr>
      <w:r>
        <w:t>監督量測相關設備應定期予以校正維護並保存其紀錄。</w:t>
      </w:r>
    </w:p>
    <w:p>
      <w:pPr>
        <w:pStyle w:val="7"/>
        <w:ind w:left="2506" w:hanging="280"/>
      </w:pPr>
      <w:r>
        <w:t>各工務所應規劃執行各項安全衛生環境測定作業。</w:t>
      </w:r>
    </w:p>
    <w:p>
      <w:pPr>
        <w:pStyle w:val="6"/>
        <w:ind w:left="2170" w:hanging="462"/>
      </w:pPr>
      <w:r>
        <w:t>守規性評估</w:t>
      </w:r>
    </w:p>
    <w:p>
      <w:pPr>
        <w:pStyle w:val="7"/>
        <w:ind w:left="2506" w:hanging="280"/>
      </w:pPr>
      <w:r>
        <w:t>本公司應建立定期評估適用法規要求事項之符合性方式，藉由定期查核以確保均能符合政府法規之承諾。</w:t>
      </w:r>
    </w:p>
    <w:p>
      <w:pPr>
        <w:pStyle w:val="7"/>
        <w:ind w:left="2506" w:hanging="280"/>
      </w:pPr>
      <w:r>
        <w:t>藉由網路、通訊與同業交流等方式獲取政府機關發布之安全衛生相關法令、公告及通報等資料取得法規。</w:t>
      </w:r>
    </w:p>
    <w:p>
      <w:pPr>
        <w:pStyle w:val="7"/>
        <w:ind w:left="2506" w:hanging="280"/>
      </w:pPr>
      <w:r>
        <w:t>定期查核法規之變更、新增或廢除，應審查其適切性並公告其內容。</w:t>
      </w:r>
    </w:p>
    <w:p>
      <w:pPr>
        <w:pStyle w:val="7"/>
        <w:ind w:left="2506" w:hanging="280"/>
      </w:pPr>
      <w:r>
        <w:t>各權責單位進行法規符合性查核時，應將查核結果予以記錄並建檔存查。</w:t>
      </w:r>
    </w:p>
    <w:p>
      <w:pPr>
        <w:pStyle w:val="7"/>
        <w:ind w:left="2506" w:hanging="280"/>
      </w:pPr>
      <w:r>
        <w:t>定期重新鑑定、查核法令及其他要求事項之適用性，並彙整陳核最高管理階層。</w:t>
      </w:r>
    </w:p>
    <w:p>
      <w:pPr>
        <w:pStyle w:val="5"/>
      </w:pPr>
      <w:r>
        <w:t>內部稽核</w:t>
      </w:r>
    </w:p>
    <w:p>
      <w:pPr>
        <w:pStyle w:val="6"/>
        <w:ind w:left="2170" w:hanging="462"/>
      </w:pPr>
      <w:r>
        <w:t>為驗證本公司職業安全衛生系統內之各管理要項均能有效且達成既定之目標，並符合ISO 45001</w:t>
      </w:r>
      <w:r>
        <w:rPr>
          <w:rFonts w:hint="eastAsia"/>
        </w:rPr>
        <w:t>：</w:t>
      </w:r>
      <w:r>
        <w:t>2018要求，應建立稽核管理程序，以確定安衛管理系統有效運作。</w:t>
      </w:r>
    </w:p>
    <w:p>
      <w:pPr>
        <w:pStyle w:val="6"/>
        <w:ind w:left="2170" w:hanging="462"/>
      </w:pPr>
      <w:r>
        <w:t>本公司建立之稽核程序及其管制方法應符合下列之管理原則：</w:t>
      </w:r>
    </w:p>
    <w:p>
      <w:pPr>
        <w:pStyle w:val="7"/>
        <w:ind w:left="2506" w:hanging="280"/>
      </w:pPr>
      <w:r>
        <w:t>應定期執行內部稽核。</w:t>
      </w:r>
    </w:p>
    <w:p>
      <w:pPr>
        <w:pStyle w:val="7"/>
        <w:ind w:left="2506" w:hanging="280"/>
      </w:pPr>
      <w:r>
        <w:t>安衛管理系統之稽核應區分為系統稽核與工程現場查核兩部分進行。</w:t>
      </w:r>
    </w:p>
    <w:p>
      <w:pPr>
        <w:pStyle w:val="7"/>
        <w:ind w:left="2506" w:hanging="280"/>
      </w:pPr>
      <w:r>
        <w:t>應依據受稽核業務與地點之情況、重要性，以及先前稽核之結果進行規劃。</w:t>
      </w:r>
      <w:r>
        <w:br w:type="textWrapping"/>
      </w:r>
    </w:p>
    <w:p>
      <w:pPr>
        <w:pStyle w:val="7"/>
        <w:ind w:left="2506" w:hanging="280"/>
      </w:pPr>
      <w:r>
        <w:t>規劃時，應訂定稽核準則、範圍、頻率和方法，並考量所有標準條款之要求及安衛管理業務權責，以確保標準內所有條款要求均已包含於規劃中。</w:t>
      </w:r>
    </w:p>
    <w:p>
      <w:pPr>
        <w:pStyle w:val="7"/>
        <w:ind w:left="2506" w:hanging="280"/>
      </w:pPr>
      <w:r>
        <w:t>稽核成員應派任具稽核資格及安衛管理員資格以上或等效資格人員參與，並應確保稽核過程之客觀與公平。</w:t>
      </w:r>
    </w:p>
    <w:p>
      <w:pPr>
        <w:pStyle w:val="7"/>
        <w:ind w:left="2506" w:hanging="280"/>
      </w:pPr>
      <w:r>
        <w:t>應明訂規劃與執行稽核、報告稽核結果及保存稽核紀錄之權責和要求。</w:t>
      </w:r>
    </w:p>
    <w:p>
      <w:pPr>
        <w:pStyle w:val="6"/>
        <w:ind w:left="2170" w:hanging="462"/>
      </w:pPr>
      <w:r>
        <w:t>受稽業務之主管對稽核時所發現的缺失，應採取行動以消弭不符合事項及其原因；後續跟催作業，應包括所採措施的查證以及查證結果的報告。</w:t>
      </w:r>
    </w:p>
    <w:p>
      <w:pPr>
        <w:pStyle w:val="6"/>
        <w:ind w:left="2170" w:hanging="462"/>
      </w:pPr>
      <w:r>
        <w:t>稽核成果應彙整、檢討後經統計分析定期提供管理階層審查，作為各單位安全衛生管理執行績效與回饋改善安全衛生管理系統。</w:t>
      </w:r>
    </w:p>
    <w:p>
      <w:pPr>
        <w:pStyle w:val="6"/>
        <w:ind w:left="2170" w:hanging="462"/>
      </w:pPr>
      <w:r>
        <w:t>安全衛生稽核時，應考慮安全衛生管理系統是否：</w:t>
      </w:r>
    </w:p>
    <w:p>
      <w:pPr>
        <w:pStyle w:val="7"/>
        <w:ind w:left="2506" w:hanging="280"/>
      </w:pPr>
      <w:r>
        <w:t>符合職安衛管理的各項規劃事項(包含風險控管)，包括本標準的要求事項。</w:t>
      </w:r>
    </w:p>
    <w:p>
      <w:pPr>
        <w:pStyle w:val="7"/>
        <w:ind w:left="2506" w:hanging="280"/>
      </w:pPr>
      <w:r>
        <w:t>適當地實施與維持。</w:t>
      </w:r>
    </w:p>
    <w:p>
      <w:pPr>
        <w:pStyle w:val="7"/>
        <w:ind w:left="2506" w:hanging="280"/>
      </w:pPr>
      <w:r>
        <w:t>有效符合本公司的政策及目標。</w:t>
      </w:r>
    </w:p>
    <w:p>
      <w:pPr>
        <w:pStyle w:val="7"/>
        <w:ind w:left="2506" w:hanging="280"/>
      </w:pPr>
      <w:r>
        <w:t>達成遵守相關之安全衛生法規。</w:t>
      </w:r>
    </w:p>
    <w:p>
      <w:pPr>
        <w:pStyle w:val="7"/>
        <w:ind w:left="2506" w:hanging="280"/>
      </w:pPr>
      <w:r>
        <w:t>有效地促進全體員工之參與安全衛生管理事務。</w:t>
      </w:r>
    </w:p>
    <w:p>
      <w:pPr>
        <w:pStyle w:val="7"/>
        <w:ind w:left="2506" w:hanging="280"/>
      </w:pPr>
      <w:r>
        <w:t>安全衛生管理績效評估及前次稽核活動之結果有所回應。</w:t>
      </w:r>
    </w:p>
    <w:p>
      <w:pPr>
        <w:pStyle w:val="7"/>
        <w:ind w:left="2506" w:hanging="280"/>
      </w:pPr>
      <w:r>
        <w:t>符合持續改善之目的。</w:t>
      </w:r>
    </w:p>
    <w:p>
      <w:pPr>
        <w:pStyle w:val="5"/>
      </w:pPr>
      <w:r>
        <w:t>管理審查</w:t>
      </w:r>
    </w:p>
    <w:p>
      <w:pPr>
        <w:pStyle w:val="6"/>
        <w:ind w:left="2170" w:hanging="462"/>
      </w:pPr>
      <w:r>
        <w:t>本公司應建立管理階層審查程序，以作為執行系統管理審查的依據。</w:t>
      </w:r>
    </w:p>
    <w:p>
      <w:pPr>
        <w:pStyle w:val="6"/>
        <w:ind w:left="2170" w:hanging="462"/>
      </w:pPr>
      <w:r>
        <w:t>安全衛生管理系統管理階層審查應確認以下事項：</w:t>
      </w:r>
    </w:p>
    <w:p>
      <w:pPr>
        <w:pStyle w:val="7"/>
        <w:ind w:left="2506" w:hanging="280"/>
      </w:pPr>
      <w:r>
        <w:t>職業健康與安全政策、目標與使命；安衛系統架構之適切性與落實狀況。</w:t>
      </w:r>
    </w:p>
    <w:p>
      <w:pPr>
        <w:pStyle w:val="7"/>
        <w:ind w:left="2506" w:hanging="280"/>
      </w:pPr>
      <w:r>
        <w:t>定期安衛稽核與安衛制度等結果檢討。</w:t>
      </w:r>
    </w:p>
    <w:p>
      <w:pPr>
        <w:pStyle w:val="7"/>
        <w:ind w:left="2506" w:hanging="280"/>
      </w:pPr>
      <w:r>
        <w:t>預防與矯正措施之處理成效。</w:t>
      </w:r>
    </w:p>
    <w:p>
      <w:pPr>
        <w:pStyle w:val="7"/>
        <w:ind w:left="2506" w:hanging="280"/>
      </w:pPr>
      <w:r>
        <w:t>風險判定結果之管理。</w:t>
      </w:r>
    </w:p>
    <w:p>
      <w:pPr>
        <w:pStyle w:val="7"/>
        <w:ind w:left="2506" w:hanging="280"/>
      </w:pPr>
      <w:r>
        <w:t>參與及諮商的結果。</w:t>
      </w:r>
    </w:p>
    <w:p>
      <w:pPr>
        <w:pStyle w:val="7"/>
        <w:ind w:left="2506" w:hanging="280"/>
      </w:pPr>
      <w:r>
        <w:t>利害相關者所關切的事項。</w:t>
      </w:r>
    </w:p>
    <w:p>
      <w:pPr>
        <w:pStyle w:val="7"/>
        <w:ind w:left="2506" w:hanging="280"/>
      </w:pPr>
      <w:r>
        <w:t>先前管理階層審查的追蹤措施。</w:t>
      </w:r>
    </w:p>
    <w:p>
      <w:pPr>
        <w:pStyle w:val="7"/>
        <w:ind w:left="2506" w:hanging="280"/>
      </w:pPr>
      <w:r>
        <w:t>職安事件分析。</w:t>
      </w:r>
    </w:p>
    <w:p>
      <w:pPr>
        <w:pStyle w:val="7"/>
        <w:ind w:left="2506" w:hanging="280"/>
      </w:pPr>
      <w:r>
        <w:t>本公司的安全衛生績效。</w:t>
      </w:r>
    </w:p>
    <w:p>
      <w:pPr>
        <w:pStyle w:val="7"/>
        <w:ind w:left="2506" w:hanging="280"/>
      </w:pPr>
      <w:r>
        <w:t>情勢的變化，包括法規與有關於安全衛生風險相關的其他要求事項之發展。</w:t>
      </w:r>
    </w:p>
    <w:p>
      <w:pPr>
        <w:pStyle w:val="7"/>
        <w:ind w:left="2506" w:hanging="280"/>
      </w:pPr>
      <w:r>
        <w:t>員工健康保護及健康促進的實施結果。</w:t>
      </w:r>
    </w:p>
    <w:p>
      <w:pPr>
        <w:pStyle w:val="7"/>
        <w:ind w:left="2506" w:hanging="280"/>
      </w:pPr>
      <w:r>
        <w:t>員工健康監控結果的分析。</w:t>
      </w:r>
    </w:p>
    <w:p>
      <w:pPr>
        <w:pStyle w:val="7"/>
        <w:ind w:left="2506" w:hanging="280"/>
      </w:pPr>
      <w:r>
        <w:t>改善及建議事項。</w:t>
      </w:r>
    </w:p>
    <w:p>
      <w:pPr>
        <w:pStyle w:val="6"/>
        <w:ind w:left="2170" w:hanging="462"/>
      </w:pPr>
      <w:r>
        <w:t>安全衛生管理系統管理階層審查每年至少應報告乙次，必要時得增加次數並得與職業安全衛生委員會合併召開。</w:t>
      </w:r>
    </w:p>
    <w:p>
      <w:pPr>
        <w:pStyle w:val="6"/>
        <w:ind w:left="2170" w:hanging="462"/>
      </w:pPr>
      <w:r>
        <w:t>安全衛生管理系統管理階層審查所決議事項，所有相關部門應確實遵守並積極執行。</w:t>
      </w:r>
    </w:p>
    <w:p>
      <w:pPr>
        <w:pStyle w:val="6"/>
        <w:ind w:left="2170" w:hanging="462"/>
      </w:pPr>
      <w:r>
        <w:t>安全衛生管理系統管理階層審查所決議事項，相關部門應於時效內執行完畢，並提出報告。</w:t>
      </w:r>
    </w:p>
    <w:p/>
    <w:p>
      <w:pPr>
        <w:pStyle w:val="2"/>
      </w:pPr>
      <w:bookmarkStart w:id="71" w:name="_Toc522793812"/>
      <w:r>
        <w:t>改善</w:t>
      </w:r>
      <w:bookmarkEnd w:id="71"/>
    </w:p>
    <w:p>
      <w:pPr>
        <w:pStyle w:val="3"/>
      </w:pPr>
      <w:bookmarkStart w:id="72" w:name="_Toc266791599"/>
      <w:bookmarkEnd w:id="72"/>
      <w:bookmarkStart w:id="73" w:name="_Toc522793813"/>
      <w:r>
        <w:t>事件、不符合事項及矯正措施</w:t>
      </w:r>
      <w:bookmarkEnd w:id="73"/>
    </w:p>
    <w:p>
      <w:pPr>
        <w:spacing w:line="360" w:lineRule="auto"/>
        <w:ind w:left="1147" w:leftChars="478" w:firstLine="1"/>
        <w:rPr>
          <w:snapToGrid w:val="0"/>
        </w:rPr>
      </w:pPr>
      <w:r>
        <w:rPr>
          <w:snapToGrid w:val="0"/>
        </w:rPr>
        <w:t>為防止安衛管理系統內之不</w:t>
      </w:r>
      <w:r>
        <w:t>符合</w:t>
      </w:r>
      <w:r>
        <w:rPr>
          <w:snapToGrid w:val="0"/>
        </w:rPr>
        <w:t>、職安事件情況發生，積極消除實際發生或不符合事項之潛在原因，乃採取有效之矯正措施及預防措施，管理原則其內容包括：</w:t>
      </w:r>
    </w:p>
    <w:p>
      <w:pPr>
        <w:pStyle w:val="5"/>
      </w:pPr>
      <w:r>
        <w:t>職安事件、不符合事項之檢討與處理</w:t>
      </w:r>
    </w:p>
    <w:p>
      <w:pPr>
        <w:pStyle w:val="6"/>
        <w:ind w:left="2170" w:hanging="462"/>
      </w:pPr>
      <w:r>
        <w:t>對於職安事件、不符合事項，須依規定由權責人員依「職安事件通報及處理程序」予以調查及處理。</w:t>
      </w:r>
    </w:p>
    <w:p>
      <w:pPr>
        <w:pStyle w:val="6"/>
        <w:ind w:left="2170" w:hanging="462"/>
      </w:pPr>
      <w:r>
        <w:t>職安事件、不符合事項情況之處置順序視影響程度而定。</w:t>
      </w:r>
    </w:p>
    <w:p>
      <w:pPr>
        <w:pStyle w:val="6"/>
        <w:ind w:left="2170" w:hanging="462"/>
      </w:pPr>
      <w:r>
        <w:t>對於職安事件、不符合事項之安衛狀況，由權責單位採取行動，調查並確認職安事件之真正原因，以有效杜絕問題再度發生。</w:t>
      </w:r>
    </w:p>
    <w:p>
      <w:pPr>
        <w:pStyle w:val="6"/>
        <w:ind w:left="2170" w:hanging="462"/>
      </w:pPr>
      <w:r>
        <w:t>職安事件、不符合事項之安衛管制應依規定作相關紀錄，並加以管制。</w:t>
      </w:r>
    </w:p>
    <w:p>
      <w:pPr>
        <w:pStyle w:val="6"/>
        <w:ind w:left="2170" w:hanging="462"/>
      </w:pPr>
      <w:r>
        <w:t>決定適當之矯正措施前，依風險評估後所決定之處理方法，限期完成不合格情況之處理，以避免類似職安事件再度發生並降低其風險。</w:t>
      </w:r>
    </w:p>
    <w:p>
      <w:pPr>
        <w:pStyle w:val="6"/>
        <w:ind w:left="2170" w:hanging="462"/>
      </w:pPr>
      <w:r>
        <w:t>工務所應依據公司所定程序，就工地發生與工作有關之傷病、不健康事件、職業災害，實施調查，以分析事故原因，研擬預防對策，納入工地安全衛生管理計畫改善，並回報公司彙整運用。</w:t>
      </w:r>
    </w:p>
    <w:p>
      <w:pPr>
        <w:pStyle w:val="5"/>
      </w:pPr>
      <w:r>
        <w:t>矯正措施及預防措施</w:t>
      </w:r>
    </w:p>
    <w:p>
      <w:pPr>
        <w:pStyle w:val="6"/>
        <w:ind w:left="2170" w:hanging="462"/>
      </w:pPr>
      <w:r>
        <w:t>公司應建立並維持文件化資訊以改善職業安全衛生管理系統之推動成效。</w:t>
      </w:r>
    </w:p>
    <w:p>
      <w:pPr>
        <w:pStyle w:val="6"/>
        <w:ind w:left="2170" w:hanging="462"/>
      </w:pPr>
      <w:r>
        <w:t>安衛管理系統相關之安衛變異狀況，應由權責人員評估其影響程度與損失風險，並決定採取適當之矯正措施，以確保矯正措施之執行及有效性。</w:t>
      </w:r>
    </w:p>
    <w:p>
      <w:pPr>
        <w:pStyle w:val="6"/>
        <w:ind w:left="2170" w:hanging="462"/>
      </w:pPr>
      <w:r>
        <w:t>當矯正措施與預防措施鑑別出新的或已改變的危害，或是新的或改變現有控制措施的需求，相關的程序應要求在實施之前，對提出的措施進行風險評估。在評估預防措施要求過程中，對所發現不夠充分或可能不充分的危害及風險管制措施，本公司應予以合理的調整其層次。</w:t>
      </w:r>
    </w:p>
    <w:p>
      <w:pPr>
        <w:pStyle w:val="6"/>
        <w:ind w:left="2170" w:hanging="462"/>
      </w:pPr>
      <w:r>
        <w:t>應由權責單位管理矯正措施，以確保矯正措施之執行及有效性並記錄之。</w:t>
      </w:r>
    </w:p>
    <w:p>
      <w:pPr>
        <w:pStyle w:val="6"/>
        <w:ind w:left="2170" w:hanging="462"/>
      </w:pPr>
      <w:r>
        <w:t>職安單位藉由定期公告宣導業界類似職安事件提供工務所做為其預防措施執行參考。</w:t>
      </w:r>
    </w:p>
    <w:p>
      <w:pPr>
        <w:pStyle w:val="6"/>
        <w:ind w:left="2170" w:hanging="462"/>
      </w:pPr>
      <w:r>
        <w:t>職安單位藉由上述資料彙整與分析，作為安全衛生管理系統改善之依據。</w:t>
      </w:r>
    </w:p>
    <w:p/>
    <w:p>
      <w:pPr>
        <w:pStyle w:val="3"/>
      </w:pPr>
      <w:bookmarkStart w:id="74" w:name="_Toc522793814"/>
      <w:r>
        <w:t>持續改善</w:t>
      </w:r>
      <w:bookmarkEnd w:id="74"/>
    </w:p>
    <w:p>
      <w:pPr>
        <w:pStyle w:val="5"/>
      </w:pPr>
      <w:r>
        <w:t>公司應建立並維持文件化資訊藉由下到事項持續改善職安衛管理系統的適宜性、充分性及有效性，以</w:t>
      </w:r>
    </w:p>
    <w:p>
      <w:pPr>
        <w:pStyle w:val="6"/>
        <w:ind w:left="2170" w:hanging="462"/>
      </w:pPr>
      <w:r>
        <w:t>提升職安衛績效；</w:t>
      </w:r>
    </w:p>
    <w:p>
      <w:pPr>
        <w:pStyle w:val="6"/>
        <w:ind w:left="2170" w:hanging="462"/>
      </w:pPr>
      <w:r>
        <w:t>鼓勵支持職安衛管理系統的文化；</w:t>
      </w:r>
    </w:p>
    <w:p>
      <w:pPr>
        <w:pStyle w:val="6"/>
        <w:ind w:left="2170" w:hanging="462"/>
      </w:pPr>
      <w:r>
        <w:t>鼓勵工作者參與實施持續改善職安衛管理系統的措施；</w:t>
      </w:r>
    </w:p>
    <w:p>
      <w:pPr>
        <w:pStyle w:val="6"/>
        <w:ind w:left="2170" w:hanging="462"/>
      </w:pPr>
      <w:r>
        <w:t>與工作者及其代表(若有)溝通持續改善的相關結果；</w:t>
      </w:r>
    </w:p>
    <w:p>
      <w:pPr>
        <w:pStyle w:val="6"/>
        <w:ind w:left="2170" w:hanging="462"/>
      </w:pPr>
      <w:r>
        <w:t>維持及保存文件化資訊，以作為持續改善結果的佐證。</w:t>
      </w:r>
    </w:p>
    <w:p>
      <w:pPr>
        <w:pStyle w:val="5"/>
      </w:pPr>
      <w:r>
        <w:t>工務所應提供建議，並協助公司持續進行職業安全衛生管理系統之改善，提升工程安全衛生管理績效。</w:t>
      </w:r>
    </w:p>
    <w:p>
      <w:pPr>
        <w:spacing w:line="360" w:lineRule="auto"/>
        <w:ind w:left="852" w:leftChars="355" w:firstLine="1"/>
      </w:pPr>
    </w:p>
    <w:p>
      <w:pPr>
        <w:pStyle w:val="26"/>
      </w:pPr>
    </w:p>
    <w:sectPr>
      <w:headerReference r:id="rId3" w:type="default"/>
      <w:footerReference r:id="rId4" w:type="default"/>
      <w:type w:val="continuous"/>
      <w:pgSz w:w="11906" w:h="16838"/>
      <w:pgMar w:top="113" w:right="113" w:bottom="113" w:left="113" w:header="851" w:footer="680"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標楷體">
    <w:panose1 w:val="03000509000000000000"/>
    <w:charset w:val="88"/>
    <w:family w:val="auto"/>
    <w:pitch w:val="default"/>
    <w:sig w:usb0="00000003" w:usb1="082E0000" w:usb2="00000016" w:usb3="00000000" w:csb0="00100001" w:csb1="00000000"/>
  </w:font>
  <w:font w:name="華康標楷體">
    <w:altName w:val="新細明體"/>
    <w:panose1 w:val="00000000000000000000"/>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snapToGrid w:val="0"/>
                            <w:rPr>
                              <w:rFonts w:hint="eastAsia" w:eastAsia="標楷體"/>
                              <w:sz w:val="18"/>
                              <w:lang w:eastAsia="zh-TW"/>
                            </w:rPr>
                          </w:pPr>
                          <w:r>
                            <w:rPr>
                              <w:rFonts w:hint="eastAsia"/>
                              <w:sz w:val="18"/>
                              <w:lang w:eastAsia="zh-TW"/>
                            </w:rPr>
                            <w:fldChar w:fldCharType="begin"/>
                          </w:r>
                          <w:r>
                            <w:rPr>
                              <w:rFonts w:hint="eastAsia"/>
                              <w:sz w:val="18"/>
                              <w:lang w:eastAsia="zh-TW"/>
                            </w:rPr>
                            <w:instrText xml:space="preserve"> PAGE  \* MERGEFORMAT </w:instrText>
                          </w:r>
                          <w:r>
                            <w:rPr>
                              <w:rFonts w:hint="eastAsia"/>
                              <w:sz w:val="18"/>
                              <w:lang w:eastAsia="zh-TW"/>
                            </w:rPr>
                            <w:fldChar w:fldCharType="separate"/>
                          </w:r>
                          <w:r>
                            <w:rPr>
                              <w:sz w:val="18"/>
                            </w:rPr>
                            <w:t>1</w:t>
                          </w:r>
                          <w:r>
                            <w:rPr>
                              <w:rFonts w:hint="eastAsia"/>
                              <w:sz w:val="18"/>
                              <w:lang w:eastAsia="zh-TW"/>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">
              <v:fill on="f" focussize="0,0"/>
              <v:stroke on="f" weight="0.5pt"/>
              <v:imagedata o:title=""/>
              <o:lock v:ext="edit" aspectratio="f"/>
              <v:textbox inset="0mm,0mm,0mm,0mm" style="mso-fit-shape-to-text:t;">
                <w:txbxContent>
                  <w:p>
                    <w:pPr>
                      <w:snapToGrid w:val="0"/>
                      <w:rPr>
                        <w:rFonts w:hint="eastAsia" w:eastAsia="標楷體"/>
                        <w:sz w:val="18"/>
                        <w:lang w:eastAsia="zh-TW"/>
                      </w:rPr>
                    </w:pPr>
                    <w:r>
                      <w:rPr>
                        <w:rFonts w:hint="eastAsia"/>
                        <w:sz w:val="18"/>
                        <w:lang w:eastAsia="zh-TW"/>
                      </w:rPr>
                      <w:fldChar w:fldCharType="begin"/>
                    </w:r>
                    <w:r>
                      <w:rPr>
                        <w:rFonts w:hint="eastAsia"/>
                        <w:sz w:val="18"/>
                        <w:lang w:eastAsia="zh-TW"/>
                      </w:rPr>
                      <w:instrText xml:space="preserve"> PAGE  \* MERGEFORMAT </w:instrText>
                    </w:r>
                    <w:r>
                      <w:rPr>
                        <w:rFonts w:hint="eastAsia"/>
                        <w:sz w:val="18"/>
                        <w:lang w:eastAsia="zh-TW"/>
                      </w:rPr>
                      <w:fldChar w:fldCharType="separate"/>
                    </w:r>
                    <w:r>
                      <w:rPr>
                        <w:sz w:val="18"/>
                      </w:rPr>
                      <w:t>1</w:t>
                    </w:r>
                    <w:r>
                      <w:rPr>
                        <w:rFonts w:hint="eastAsia"/>
                        <w:sz w:val="18"/>
                        <w:lang w:eastAsia="zh-TW"/>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B"/>
    <w:lvl w:ilvl="0" w:tentative="0">
      <w:start w:val="0"/>
      <w:numFmt w:val="decimal"/>
      <w:pStyle w:val="2"/>
      <w:lvlText w:val="%1"/>
      <w:lvlJc w:val="left"/>
      <w:pPr>
        <w:tabs>
          <w:tab w:val="left" w:pos="0"/>
        </w:tabs>
        <w:ind w:left="580" w:hanging="340"/>
      </w:pPr>
      <w:rPr>
        <w:rFonts w:hint="default" w:ascii="Times New Roman" w:hAnsi="Times New Roman"/>
      </w:rPr>
    </w:lvl>
    <w:lvl w:ilvl="1" w:tentative="0">
      <w:start w:val="1"/>
      <w:numFmt w:val="decimal"/>
      <w:pStyle w:val="3"/>
      <w:lvlText w:val="%1.%2"/>
      <w:lvlJc w:val="left"/>
      <w:pPr>
        <w:tabs>
          <w:tab w:val="left" w:pos="0"/>
        </w:tabs>
        <w:ind w:left="1140" w:hanging="539"/>
      </w:pPr>
      <w:rPr>
        <w:rFonts w:hint="default" w:ascii="Times New Roman" w:hAnsi="Times New Roman"/>
      </w:rPr>
    </w:lvl>
    <w:lvl w:ilvl="2" w:tentative="0">
      <w:start w:val="1"/>
      <w:numFmt w:val="decimal"/>
      <w:pStyle w:val="4"/>
      <w:lvlText w:val="%1.%2.%3"/>
      <w:lvlJc w:val="left"/>
      <w:pPr>
        <w:tabs>
          <w:tab w:val="left" w:pos="1720"/>
        </w:tabs>
        <w:ind w:left="1720" w:hanging="680"/>
      </w:pPr>
      <w:rPr>
        <w:rFonts w:hint="default" w:ascii="Times New Roman" w:hAnsi="Times New Roman"/>
      </w:rPr>
    </w:lvl>
    <w:lvl w:ilvl="3" w:tentative="0">
      <w:start w:val="1"/>
      <w:numFmt w:val="decimal"/>
      <w:pStyle w:val="5"/>
      <w:lvlText w:val="%4)"/>
      <w:lvlJc w:val="left"/>
      <w:pPr>
        <w:tabs>
          <w:tab w:val="left" w:pos="492"/>
        </w:tabs>
        <w:ind w:left="2212" w:hanging="510"/>
      </w:pPr>
      <w:rPr>
        <w:rFonts w:hint="default" w:ascii="Times New Roman" w:hAnsi="Times New Roman"/>
      </w:rPr>
    </w:lvl>
    <w:lvl w:ilvl="4" w:tentative="0">
      <w:start w:val="1"/>
      <w:numFmt w:val="decimal"/>
      <w:pStyle w:val="6"/>
      <w:lvlText w:val="(%5)"/>
      <w:lvlJc w:val="left"/>
      <w:pPr>
        <w:tabs>
          <w:tab w:val="left" w:pos="96"/>
        </w:tabs>
        <w:ind w:left="1816" w:hanging="539"/>
      </w:pPr>
      <w:rPr>
        <w:rFonts w:hint="default" w:ascii="Times New Roman" w:hAnsi="Times New Roman"/>
      </w:rPr>
    </w:lvl>
    <w:lvl w:ilvl="5" w:tentative="0">
      <w:start w:val="1"/>
      <w:numFmt w:val="lowerLetter"/>
      <w:pStyle w:val="7"/>
      <w:lvlText w:val="%6)"/>
      <w:lvlJc w:val="left"/>
      <w:pPr>
        <w:tabs>
          <w:tab w:val="left" w:pos="0"/>
        </w:tabs>
        <w:ind w:left="1720" w:hanging="539"/>
      </w:pPr>
      <w:rPr>
        <w:rFonts w:hint="default" w:ascii="Times New Roman" w:hAnsi="Times New Roman"/>
      </w:rPr>
    </w:lvl>
    <w:lvl w:ilvl="6" w:tentative="0">
      <w:start w:val="1"/>
      <w:numFmt w:val="lowerLetter"/>
      <w:pStyle w:val="8"/>
      <w:lvlText w:val="(%7)"/>
      <w:lvlJc w:val="left"/>
      <w:pPr>
        <w:tabs>
          <w:tab w:val="left" w:pos="0"/>
        </w:tabs>
        <w:ind w:left="1720" w:hanging="425"/>
      </w:pPr>
      <w:rPr>
        <w:rFonts w:hint="default" w:ascii="Times New Roman" w:hAnsi="Times New Roman"/>
      </w:rPr>
    </w:lvl>
    <w:lvl w:ilvl="7" w:tentative="0">
      <w:start w:val="1"/>
      <w:numFmt w:val="lowerLetter"/>
      <w:pStyle w:val="28"/>
      <w:lvlText w:val="(%8)"/>
      <w:lvlJc w:val="left"/>
      <w:pPr>
        <w:tabs>
          <w:tab w:val="left" w:pos="0"/>
        </w:tabs>
        <w:ind w:left="1720" w:hanging="425"/>
      </w:pPr>
      <w:rPr>
        <w:rFonts w:hint="default" w:ascii="Times New Roman" w:hAnsi="Times New Roman"/>
      </w:rPr>
    </w:lvl>
    <w:lvl w:ilvl="8" w:tentative="0">
      <w:start w:val="1"/>
      <w:numFmt w:val="lowerRoman"/>
      <w:lvlText w:val="(%9)"/>
      <w:lvlJc w:val="left"/>
      <w:pPr>
        <w:tabs>
          <w:tab w:val="left" w:pos="0"/>
        </w:tabs>
        <w:ind w:left="1718" w:hanging="425"/>
      </w:pPr>
      <w:rPr>
        <w:rFonts w:hint="default" w:ascii="Times New Roman" w:hAnsi="Times New Roman"/>
      </w:rPr>
    </w:lvl>
  </w:abstractNum>
  <w:abstractNum w:abstractNumId="1">
    <w:nsid w:val="25666D26"/>
    <w:multiLevelType w:val="multilevel"/>
    <w:tmpl w:val="25666D26"/>
    <w:lvl w:ilvl="0" w:tentative="0">
      <w:start w:val="1"/>
      <w:numFmt w:val="lowerLetter"/>
      <w:pStyle w:val="27"/>
      <w:lvlText w:val="(%1)"/>
      <w:lvlJc w:val="left"/>
      <w:pPr>
        <w:tabs>
          <w:tab w:val="left" w:pos="2400"/>
        </w:tabs>
        <w:ind w:left="2400" w:hanging="480"/>
      </w:pPr>
      <w:rPr>
        <w:rFonts w:hint="eastAsia"/>
        <w:color w:val="000000"/>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bordersDoNotSurroundHeader w:val="1"/>
  <w:bordersDoNotSurroundFooter w:val="1"/>
  <w:attachedTemplate r:id="rId1"/>
  <w:documentProtection w:enforcement="0"/>
  <w:defaultTabStop w:val="720"/>
  <w:noPunctuationKerning w:val="1"/>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0E1C"/>
    <w:rsid w:val="000272FE"/>
    <w:rsid w:val="000273F9"/>
    <w:rsid w:val="00035702"/>
    <w:rsid w:val="0003585B"/>
    <w:rsid w:val="00076CD9"/>
    <w:rsid w:val="00083443"/>
    <w:rsid w:val="00090D49"/>
    <w:rsid w:val="000A6CF9"/>
    <w:rsid w:val="000B3D11"/>
    <w:rsid w:val="000C3997"/>
    <w:rsid w:val="000C3B3A"/>
    <w:rsid w:val="000D148B"/>
    <w:rsid w:val="000D3FE2"/>
    <w:rsid w:val="000D6151"/>
    <w:rsid w:val="000E1BE0"/>
    <w:rsid w:val="000E2270"/>
    <w:rsid w:val="000F7AF3"/>
    <w:rsid w:val="00101359"/>
    <w:rsid w:val="0011092F"/>
    <w:rsid w:val="0011559B"/>
    <w:rsid w:val="001274FC"/>
    <w:rsid w:val="00135194"/>
    <w:rsid w:val="00142C43"/>
    <w:rsid w:val="00152C73"/>
    <w:rsid w:val="001542F9"/>
    <w:rsid w:val="00172510"/>
    <w:rsid w:val="00194846"/>
    <w:rsid w:val="001A03CA"/>
    <w:rsid w:val="001A1218"/>
    <w:rsid w:val="001A248C"/>
    <w:rsid w:val="001B0C3E"/>
    <w:rsid w:val="001B23BC"/>
    <w:rsid w:val="001C315B"/>
    <w:rsid w:val="001C64A8"/>
    <w:rsid w:val="001D3F42"/>
    <w:rsid w:val="00200C51"/>
    <w:rsid w:val="00212FA3"/>
    <w:rsid w:val="00213922"/>
    <w:rsid w:val="002152BD"/>
    <w:rsid w:val="0022190F"/>
    <w:rsid w:val="00266D0A"/>
    <w:rsid w:val="0028006E"/>
    <w:rsid w:val="0029077B"/>
    <w:rsid w:val="00296EBF"/>
    <w:rsid w:val="002A10BC"/>
    <w:rsid w:val="002B2821"/>
    <w:rsid w:val="002B5CF3"/>
    <w:rsid w:val="00314768"/>
    <w:rsid w:val="00317B02"/>
    <w:rsid w:val="00321A8F"/>
    <w:rsid w:val="003624D8"/>
    <w:rsid w:val="00362EC9"/>
    <w:rsid w:val="00364CEB"/>
    <w:rsid w:val="00365E00"/>
    <w:rsid w:val="00371483"/>
    <w:rsid w:val="00381895"/>
    <w:rsid w:val="00390568"/>
    <w:rsid w:val="00397B23"/>
    <w:rsid w:val="003B03A4"/>
    <w:rsid w:val="003B3965"/>
    <w:rsid w:val="003B6DC0"/>
    <w:rsid w:val="003C1CF7"/>
    <w:rsid w:val="003C4C1B"/>
    <w:rsid w:val="003D0713"/>
    <w:rsid w:val="003D1A66"/>
    <w:rsid w:val="003D41C7"/>
    <w:rsid w:val="003E3093"/>
    <w:rsid w:val="003E4A34"/>
    <w:rsid w:val="003E7D22"/>
    <w:rsid w:val="00401129"/>
    <w:rsid w:val="00403671"/>
    <w:rsid w:val="00406DB6"/>
    <w:rsid w:val="00417CC3"/>
    <w:rsid w:val="00432E22"/>
    <w:rsid w:val="004330DD"/>
    <w:rsid w:val="0045693A"/>
    <w:rsid w:val="00480F22"/>
    <w:rsid w:val="00492442"/>
    <w:rsid w:val="004A5D32"/>
    <w:rsid w:val="004D3B00"/>
    <w:rsid w:val="0050008B"/>
    <w:rsid w:val="00517B8A"/>
    <w:rsid w:val="00525CEB"/>
    <w:rsid w:val="00541DCC"/>
    <w:rsid w:val="0055046E"/>
    <w:rsid w:val="00550471"/>
    <w:rsid w:val="0056181E"/>
    <w:rsid w:val="0056499D"/>
    <w:rsid w:val="00565399"/>
    <w:rsid w:val="005778B7"/>
    <w:rsid w:val="00580CB5"/>
    <w:rsid w:val="00584DA9"/>
    <w:rsid w:val="00587CA3"/>
    <w:rsid w:val="00593CE5"/>
    <w:rsid w:val="005A5B69"/>
    <w:rsid w:val="005B0B40"/>
    <w:rsid w:val="005B3913"/>
    <w:rsid w:val="005B3F6D"/>
    <w:rsid w:val="005B6915"/>
    <w:rsid w:val="005C270C"/>
    <w:rsid w:val="005C7500"/>
    <w:rsid w:val="005D0C7A"/>
    <w:rsid w:val="005D6733"/>
    <w:rsid w:val="005F093A"/>
    <w:rsid w:val="005F65F4"/>
    <w:rsid w:val="00602841"/>
    <w:rsid w:val="00610EED"/>
    <w:rsid w:val="00620E1C"/>
    <w:rsid w:val="006310EC"/>
    <w:rsid w:val="00633052"/>
    <w:rsid w:val="00633E09"/>
    <w:rsid w:val="00634606"/>
    <w:rsid w:val="006430A2"/>
    <w:rsid w:val="0069106A"/>
    <w:rsid w:val="006965F8"/>
    <w:rsid w:val="006B1C67"/>
    <w:rsid w:val="006C18FB"/>
    <w:rsid w:val="006C1941"/>
    <w:rsid w:val="006C575D"/>
    <w:rsid w:val="006C6FC0"/>
    <w:rsid w:val="006D0E86"/>
    <w:rsid w:val="006F2801"/>
    <w:rsid w:val="006F6A91"/>
    <w:rsid w:val="00702C12"/>
    <w:rsid w:val="00702CBB"/>
    <w:rsid w:val="00725E89"/>
    <w:rsid w:val="00730FD8"/>
    <w:rsid w:val="00735731"/>
    <w:rsid w:val="007428D1"/>
    <w:rsid w:val="0075612C"/>
    <w:rsid w:val="00784533"/>
    <w:rsid w:val="007956BE"/>
    <w:rsid w:val="00795CC0"/>
    <w:rsid w:val="00797266"/>
    <w:rsid w:val="007F6EFF"/>
    <w:rsid w:val="007F71D3"/>
    <w:rsid w:val="00811F69"/>
    <w:rsid w:val="00830251"/>
    <w:rsid w:val="00830A6B"/>
    <w:rsid w:val="00841CF1"/>
    <w:rsid w:val="008642C7"/>
    <w:rsid w:val="0087528C"/>
    <w:rsid w:val="008970B6"/>
    <w:rsid w:val="008972B4"/>
    <w:rsid w:val="008A1E08"/>
    <w:rsid w:val="008A3BC7"/>
    <w:rsid w:val="008D1C8A"/>
    <w:rsid w:val="00901160"/>
    <w:rsid w:val="009120FB"/>
    <w:rsid w:val="00913B4F"/>
    <w:rsid w:val="0092635C"/>
    <w:rsid w:val="0094154A"/>
    <w:rsid w:val="0094592E"/>
    <w:rsid w:val="0095023F"/>
    <w:rsid w:val="00974389"/>
    <w:rsid w:val="00981522"/>
    <w:rsid w:val="00981FEB"/>
    <w:rsid w:val="00987119"/>
    <w:rsid w:val="009B635E"/>
    <w:rsid w:val="009B6DD2"/>
    <w:rsid w:val="009B75A9"/>
    <w:rsid w:val="009C74C9"/>
    <w:rsid w:val="009D2AE4"/>
    <w:rsid w:val="009D5D19"/>
    <w:rsid w:val="009D7F92"/>
    <w:rsid w:val="009E464D"/>
    <w:rsid w:val="009E6249"/>
    <w:rsid w:val="009E77E3"/>
    <w:rsid w:val="00A061A1"/>
    <w:rsid w:val="00A0636A"/>
    <w:rsid w:val="00A06823"/>
    <w:rsid w:val="00A312A7"/>
    <w:rsid w:val="00A32061"/>
    <w:rsid w:val="00A3367B"/>
    <w:rsid w:val="00A37972"/>
    <w:rsid w:val="00A40E21"/>
    <w:rsid w:val="00A43A7C"/>
    <w:rsid w:val="00A65964"/>
    <w:rsid w:val="00A7612A"/>
    <w:rsid w:val="00A8088F"/>
    <w:rsid w:val="00A91565"/>
    <w:rsid w:val="00A96CAE"/>
    <w:rsid w:val="00AA140D"/>
    <w:rsid w:val="00AA1EE6"/>
    <w:rsid w:val="00AA5AC0"/>
    <w:rsid w:val="00AB12A0"/>
    <w:rsid w:val="00AB3816"/>
    <w:rsid w:val="00AB790A"/>
    <w:rsid w:val="00AD23C4"/>
    <w:rsid w:val="00AF069F"/>
    <w:rsid w:val="00AF161E"/>
    <w:rsid w:val="00B01015"/>
    <w:rsid w:val="00B06F1F"/>
    <w:rsid w:val="00B16510"/>
    <w:rsid w:val="00B21F85"/>
    <w:rsid w:val="00B27448"/>
    <w:rsid w:val="00B330D2"/>
    <w:rsid w:val="00B34163"/>
    <w:rsid w:val="00B351EC"/>
    <w:rsid w:val="00B4414F"/>
    <w:rsid w:val="00B66858"/>
    <w:rsid w:val="00B71DCC"/>
    <w:rsid w:val="00B9187F"/>
    <w:rsid w:val="00B927D0"/>
    <w:rsid w:val="00B97549"/>
    <w:rsid w:val="00BB4457"/>
    <w:rsid w:val="00BE0141"/>
    <w:rsid w:val="00BF59C6"/>
    <w:rsid w:val="00BF7D0A"/>
    <w:rsid w:val="00C12278"/>
    <w:rsid w:val="00C3439A"/>
    <w:rsid w:val="00C54887"/>
    <w:rsid w:val="00C54F9D"/>
    <w:rsid w:val="00C62E87"/>
    <w:rsid w:val="00CA32CE"/>
    <w:rsid w:val="00CB1435"/>
    <w:rsid w:val="00CB4534"/>
    <w:rsid w:val="00CB4FF5"/>
    <w:rsid w:val="00CB76BA"/>
    <w:rsid w:val="00CC0793"/>
    <w:rsid w:val="00CC0F35"/>
    <w:rsid w:val="00CD6A48"/>
    <w:rsid w:val="00D47578"/>
    <w:rsid w:val="00D51241"/>
    <w:rsid w:val="00D5444E"/>
    <w:rsid w:val="00D61AEA"/>
    <w:rsid w:val="00D6477B"/>
    <w:rsid w:val="00D67C25"/>
    <w:rsid w:val="00D761C7"/>
    <w:rsid w:val="00D779FB"/>
    <w:rsid w:val="00D80138"/>
    <w:rsid w:val="00D8287D"/>
    <w:rsid w:val="00D84CD3"/>
    <w:rsid w:val="00DC1211"/>
    <w:rsid w:val="00DC1AF0"/>
    <w:rsid w:val="00DC37E1"/>
    <w:rsid w:val="00DD3F03"/>
    <w:rsid w:val="00DD5584"/>
    <w:rsid w:val="00DF1CCD"/>
    <w:rsid w:val="00E05A09"/>
    <w:rsid w:val="00E24971"/>
    <w:rsid w:val="00E27769"/>
    <w:rsid w:val="00E438F4"/>
    <w:rsid w:val="00E477E6"/>
    <w:rsid w:val="00E963C5"/>
    <w:rsid w:val="00EA3A04"/>
    <w:rsid w:val="00EC1B07"/>
    <w:rsid w:val="00F04585"/>
    <w:rsid w:val="00F060B8"/>
    <w:rsid w:val="00F068E4"/>
    <w:rsid w:val="00F228E6"/>
    <w:rsid w:val="00F277F1"/>
    <w:rsid w:val="00F32590"/>
    <w:rsid w:val="00F67046"/>
    <w:rsid w:val="00F76E57"/>
    <w:rsid w:val="00F76EEA"/>
    <w:rsid w:val="00F8290C"/>
    <w:rsid w:val="00F96B37"/>
    <w:rsid w:val="00FA2363"/>
    <w:rsid w:val="00FA30B6"/>
    <w:rsid w:val="00FA5FFE"/>
    <w:rsid w:val="00FC5346"/>
    <w:rsid w:val="00FD64D6"/>
    <w:rsid w:val="00FE17AE"/>
    <w:rsid w:val="00FE6D55"/>
    <w:rsid w:val="00FF5430"/>
    <w:rsid w:val="12D45D77"/>
    <w:rsid w:val="192F6DCC"/>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標楷體"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標楷體" w:cs="Times New Roman"/>
      <w:sz w:val="24"/>
      <w:szCs w:val="24"/>
      <w:lang w:val="en-US" w:eastAsia="zh-TW" w:bidi="ar-SA"/>
    </w:rPr>
  </w:style>
  <w:style w:type="paragraph" w:styleId="2">
    <w:name w:val="heading 1"/>
    <w:basedOn w:val="1"/>
    <w:next w:val="1"/>
    <w:qFormat/>
    <w:uiPriority w:val="0"/>
    <w:pPr>
      <w:keepNext/>
      <w:widowControl w:val="0"/>
      <w:numPr>
        <w:ilvl w:val="0"/>
        <w:numId w:val="1"/>
      </w:numPr>
      <w:adjustRightInd w:val="0"/>
      <w:spacing w:line="360" w:lineRule="auto"/>
      <w:textAlignment w:val="baseline"/>
      <w:outlineLvl w:val="0"/>
    </w:pPr>
    <w:rPr>
      <w:kern w:val="52"/>
      <w:sz w:val="28"/>
      <w:szCs w:val="20"/>
    </w:rPr>
  </w:style>
  <w:style w:type="paragraph" w:styleId="3">
    <w:name w:val="heading 2"/>
    <w:basedOn w:val="1"/>
    <w:next w:val="1"/>
    <w:qFormat/>
    <w:uiPriority w:val="0"/>
    <w:pPr>
      <w:keepNext/>
      <w:widowControl w:val="0"/>
      <w:numPr>
        <w:ilvl w:val="1"/>
        <w:numId w:val="1"/>
      </w:numPr>
      <w:tabs>
        <w:tab w:val="left" w:pos="1134"/>
      </w:tabs>
      <w:adjustRightInd w:val="0"/>
      <w:spacing w:line="360" w:lineRule="auto"/>
      <w:textAlignment w:val="baseline"/>
      <w:outlineLvl w:val="1"/>
    </w:pPr>
    <w:rPr>
      <w:szCs w:val="20"/>
    </w:rPr>
  </w:style>
  <w:style w:type="paragraph" w:styleId="4">
    <w:name w:val="heading 3"/>
    <w:basedOn w:val="1"/>
    <w:next w:val="1"/>
    <w:qFormat/>
    <w:uiPriority w:val="0"/>
    <w:pPr>
      <w:keepNext/>
      <w:widowControl w:val="0"/>
      <w:numPr>
        <w:ilvl w:val="2"/>
        <w:numId w:val="1"/>
      </w:numPr>
      <w:spacing w:line="360" w:lineRule="auto"/>
      <w:textAlignment w:val="baseline"/>
      <w:outlineLvl w:val="2"/>
    </w:pPr>
    <w:rPr>
      <w:szCs w:val="20"/>
    </w:rPr>
  </w:style>
  <w:style w:type="paragraph" w:styleId="5">
    <w:name w:val="heading 4"/>
    <w:basedOn w:val="1"/>
    <w:next w:val="1"/>
    <w:qFormat/>
    <w:uiPriority w:val="0"/>
    <w:pPr>
      <w:widowControl w:val="0"/>
      <w:numPr>
        <w:ilvl w:val="3"/>
        <w:numId w:val="1"/>
      </w:numPr>
      <w:tabs>
        <w:tab w:val="left" w:pos="1701"/>
      </w:tabs>
      <w:adjustRightInd w:val="0"/>
      <w:spacing w:line="360" w:lineRule="auto"/>
      <w:ind w:left="1701"/>
      <w:textAlignment w:val="baseline"/>
      <w:outlineLvl w:val="3"/>
    </w:pPr>
    <w:rPr>
      <w:szCs w:val="20"/>
    </w:rPr>
  </w:style>
  <w:style w:type="paragraph" w:styleId="6">
    <w:name w:val="heading 5"/>
    <w:basedOn w:val="1"/>
    <w:next w:val="1"/>
    <w:qFormat/>
    <w:uiPriority w:val="0"/>
    <w:pPr>
      <w:keepNext/>
      <w:widowControl w:val="0"/>
      <w:numPr>
        <w:ilvl w:val="4"/>
        <w:numId w:val="1"/>
      </w:numPr>
      <w:tabs>
        <w:tab w:val="left" w:pos="480"/>
      </w:tabs>
      <w:adjustRightInd w:val="0"/>
      <w:spacing w:line="360" w:lineRule="auto"/>
      <w:textAlignment w:val="baseline"/>
      <w:outlineLvl w:val="4"/>
    </w:pPr>
    <w:rPr>
      <w:szCs w:val="20"/>
    </w:rPr>
  </w:style>
  <w:style w:type="paragraph" w:styleId="7">
    <w:name w:val="heading 6"/>
    <w:basedOn w:val="1"/>
    <w:next w:val="1"/>
    <w:qFormat/>
    <w:uiPriority w:val="0"/>
    <w:pPr>
      <w:keepNext/>
      <w:widowControl w:val="0"/>
      <w:numPr>
        <w:ilvl w:val="5"/>
        <w:numId w:val="1"/>
      </w:numPr>
      <w:adjustRightInd w:val="0"/>
      <w:spacing w:line="360" w:lineRule="auto"/>
      <w:textAlignment w:val="baseline"/>
      <w:outlineLvl w:val="5"/>
    </w:pPr>
    <w:rPr>
      <w:szCs w:val="20"/>
    </w:rPr>
  </w:style>
  <w:style w:type="paragraph" w:styleId="8">
    <w:name w:val="heading 7"/>
    <w:basedOn w:val="1"/>
    <w:next w:val="1"/>
    <w:qFormat/>
    <w:uiPriority w:val="0"/>
    <w:pPr>
      <w:keepNext/>
      <w:numPr>
        <w:ilvl w:val="6"/>
        <w:numId w:val="1"/>
      </w:numPr>
      <w:spacing w:line="360" w:lineRule="auto"/>
      <w:outlineLvl w:val="6"/>
    </w:pPr>
    <w:rPr>
      <w:rFonts w:ascii="Arial" w:hAnsi="Arial"/>
      <w:bCs/>
      <w:szCs w:val="36"/>
    </w:rPr>
  </w:style>
  <w:style w:type="paragraph" w:styleId="9">
    <w:name w:val="heading 8"/>
    <w:basedOn w:val="1"/>
    <w:next w:val="1"/>
    <w:qFormat/>
    <w:uiPriority w:val="0"/>
    <w:pPr>
      <w:keepNext/>
      <w:spacing w:line="720" w:lineRule="auto"/>
      <w:ind w:left="400" w:leftChars="400"/>
      <w:outlineLvl w:val="7"/>
    </w:pPr>
    <w:rPr>
      <w:rFonts w:ascii="Arial" w:hAnsi="Arial" w:eastAsia="新細明體"/>
      <w:sz w:val="36"/>
      <w:szCs w:val="36"/>
    </w:rPr>
  </w:style>
  <w:style w:type="character" w:default="1" w:styleId="17">
    <w:name w:val="Default Paragraph Font"/>
    <w:unhideWhenUsed/>
    <w:uiPriority w:val="1"/>
  </w:style>
  <w:style w:type="table" w:default="1" w:styleId="20">
    <w:name w:val="Normal Table"/>
    <w:unhideWhenUsed/>
    <w:qFormat/>
    <w:uiPriority w:val="99"/>
    <w:tblPr>
      <w:tblLayout w:type="fixed"/>
      <w:tblCellMar>
        <w:top w:w="0" w:type="dxa"/>
        <w:left w:w="108" w:type="dxa"/>
        <w:bottom w:w="0" w:type="dxa"/>
        <w:right w:w="108" w:type="dxa"/>
      </w:tblCellMar>
    </w:tblPr>
  </w:style>
  <w:style w:type="paragraph" w:styleId="10">
    <w:name w:val="header"/>
    <w:basedOn w:val="1"/>
    <w:uiPriority w:val="0"/>
    <w:pPr>
      <w:tabs>
        <w:tab w:val="center" w:pos="4153"/>
        <w:tab w:val="right" w:pos="8306"/>
      </w:tabs>
      <w:snapToGrid w:val="0"/>
    </w:pPr>
    <w:rPr>
      <w:sz w:val="20"/>
      <w:szCs w:val="20"/>
    </w:rPr>
  </w:style>
  <w:style w:type="paragraph" w:styleId="11">
    <w:name w:val="toc 2"/>
    <w:basedOn w:val="1"/>
    <w:next w:val="1"/>
    <w:uiPriority w:val="39"/>
    <w:pPr>
      <w:keepNext/>
      <w:widowControl w:val="0"/>
      <w:tabs>
        <w:tab w:val="right" w:leader="dot" w:pos="9922"/>
      </w:tabs>
      <w:adjustRightInd w:val="0"/>
      <w:ind w:left="284"/>
      <w:textAlignment w:val="baseline"/>
    </w:pPr>
  </w:style>
  <w:style w:type="paragraph" w:styleId="12">
    <w:name w:val="Block Text"/>
    <w:basedOn w:val="1"/>
    <w:uiPriority w:val="99"/>
    <w:pPr>
      <w:widowControl w:val="0"/>
      <w:tabs>
        <w:tab w:val="left" w:pos="960"/>
        <w:tab w:val="left" w:pos="1920"/>
        <w:tab w:val="left" w:pos="2880"/>
        <w:tab w:val="left" w:pos="3840"/>
        <w:tab w:val="left" w:pos="4800"/>
        <w:tab w:val="left" w:pos="5760"/>
        <w:tab w:val="left" w:pos="6720"/>
        <w:tab w:val="left" w:pos="7680"/>
        <w:tab w:val="left" w:pos="7920"/>
      </w:tabs>
      <w:autoSpaceDE w:val="0"/>
      <w:autoSpaceDN w:val="0"/>
      <w:adjustRightInd w:val="0"/>
      <w:ind w:left="425" w:right="17"/>
      <w:textAlignment w:val="baseline"/>
    </w:pPr>
    <w:rPr>
      <w:rFonts w:ascii="新細明體" w:eastAsia="新細明體"/>
      <w:color w:val="000000"/>
      <w:szCs w:val="20"/>
    </w:rPr>
  </w:style>
  <w:style w:type="paragraph" w:styleId="13">
    <w:name w:val="toc 1"/>
    <w:basedOn w:val="1"/>
    <w:next w:val="1"/>
    <w:uiPriority w:val="39"/>
    <w:pPr>
      <w:keepNext/>
      <w:widowControl w:val="0"/>
      <w:tabs>
        <w:tab w:val="right" w:leader="dot" w:pos="9922"/>
      </w:tabs>
      <w:adjustRightInd w:val="0"/>
      <w:spacing w:line="360" w:lineRule="auto"/>
      <w:ind w:left="284" w:hanging="284"/>
      <w:textAlignment w:val="baseline"/>
    </w:pPr>
  </w:style>
  <w:style w:type="paragraph" w:styleId="14">
    <w:name w:val="toc 3"/>
    <w:basedOn w:val="1"/>
    <w:next w:val="1"/>
    <w:semiHidden/>
    <w:uiPriority w:val="0"/>
    <w:pPr>
      <w:ind w:left="480"/>
    </w:pPr>
  </w:style>
  <w:style w:type="paragraph" w:styleId="15">
    <w:name w:val="footer"/>
    <w:basedOn w:val="1"/>
    <w:uiPriority w:val="0"/>
    <w:pPr>
      <w:tabs>
        <w:tab w:val="center" w:pos="4153"/>
        <w:tab w:val="right" w:pos="8306"/>
      </w:tabs>
      <w:snapToGrid w:val="0"/>
    </w:pPr>
    <w:rPr>
      <w:sz w:val="20"/>
      <w:szCs w:val="20"/>
    </w:rPr>
  </w:style>
  <w:style w:type="paragraph" w:styleId="16">
    <w:name w:val="Balloon Text"/>
    <w:basedOn w:val="1"/>
    <w:link w:val="30"/>
    <w:unhideWhenUsed/>
    <w:qFormat/>
    <w:uiPriority w:val="0"/>
    <w:rPr>
      <w:rFonts w:asciiTheme="majorHAnsi" w:hAnsiTheme="majorHAnsi" w:eastAsiaTheme="majorEastAsia" w:cstheme="majorBidi"/>
      <w:sz w:val="18"/>
      <w:szCs w:val="18"/>
    </w:rPr>
  </w:style>
  <w:style w:type="character" w:styleId="18">
    <w:name w:val="Hyperlink"/>
    <w:basedOn w:val="17"/>
    <w:uiPriority w:val="99"/>
    <w:rPr>
      <w:color w:val="0000FF"/>
      <w:u w:val="single"/>
    </w:rPr>
  </w:style>
  <w:style w:type="character" w:styleId="19">
    <w:name w:val="page number"/>
    <w:basedOn w:val="17"/>
    <w:qFormat/>
    <w:uiPriority w:val="0"/>
  </w:style>
  <w:style w:type="table" w:styleId="21">
    <w:name w:val="Table Grid"/>
    <w:basedOn w:val="2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22">
    <w:name w:val="ISO內文1"/>
    <w:basedOn w:val="1"/>
    <w:uiPriority w:val="0"/>
    <w:pPr>
      <w:keepNext/>
      <w:widowControl w:val="0"/>
      <w:adjustRightInd w:val="0"/>
      <w:spacing w:line="360" w:lineRule="auto"/>
      <w:ind w:left="567"/>
      <w:textAlignment w:val="baseline"/>
    </w:pPr>
    <w:rPr>
      <w:szCs w:val="20"/>
    </w:rPr>
  </w:style>
  <w:style w:type="paragraph" w:customStyle="1" w:styleId="23">
    <w:name w:val="ISO內文2"/>
    <w:basedOn w:val="1"/>
    <w:qFormat/>
    <w:uiPriority w:val="0"/>
    <w:pPr>
      <w:keepNext/>
      <w:widowControl w:val="0"/>
      <w:adjustRightInd w:val="0"/>
      <w:spacing w:line="360" w:lineRule="auto"/>
      <w:ind w:left="1134"/>
      <w:textAlignment w:val="baseline"/>
    </w:pPr>
    <w:rPr>
      <w:szCs w:val="20"/>
    </w:rPr>
  </w:style>
  <w:style w:type="paragraph" w:customStyle="1" w:styleId="24">
    <w:name w:val="ISO內文3"/>
    <w:basedOn w:val="1"/>
    <w:uiPriority w:val="0"/>
    <w:pPr>
      <w:keepNext/>
      <w:widowControl w:val="0"/>
      <w:adjustRightInd w:val="0"/>
      <w:spacing w:line="360" w:lineRule="auto"/>
      <w:ind w:left="1701"/>
      <w:textAlignment w:val="baseline"/>
    </w:pPr>
    <w:rPr>
      <w:szCs w:val="20"/>
    </w:rPr>
  </w:style>
  <w:style w:type="paragraph" w:customStyle="1" w:styleId="25">
    <w:name w:val="ISO內文4"/>
    <w:basedOn w:val="1"/>
    <w:uiPriority w:val="0"/>
    <w:pPr>
      <w:keepNext/>
      <w:widowControl w:val="0"/>
      <w:adjustRightInd w:val="0"/>
      <w:spacing w:line="360" w:lineRule="auto"/>
      <w:ind w:left="1701"/>
      <w:textAlignment w:val="baseline"/>
    </w:pPr>
    <w:rPr>
      <w:szCs w:val="20"/>
    </w:rPr>
  </w:style>
  <w:style w:type="paragraph" w:customStyle="1" w:styleId="26">
    <w:name w:val="附件"/>
    <w:basedOn w:val="1"/>
    <w:qFormat/>
    <w:uiPriority w:val="0"/>
    <w:pPr>
      <w:spacing w:line="360" w:lineRule="auto"/>
    </w:pPr>
  </w:style>
  <w:style w:type="paragraph" w:customStyle="1" w:styleId="27">
    <w:name w:val="(a)"/>
    <w:basedOn w:val="9"/>
    <w:uiPriority w:val="0"/>
    <w:pPr>
      <w:numPr>
        <w:ilvl w:val="0"/>
        <w:numId w:val="2"/>
      </w:numPr>
      <w:spacing w:line="360" w:lineRule="auto"/>
      <w:ind w:left="882" w:hanging="482"/>
    </w:pPr>
  </w:style>
  <w:style w:type="paragraph" w:customStyle="1" w:styleId="28">
    <w:name w:val="樣式 標題 8 + 左:  4 字元"/>
    <w:basedOn w:val="9"/>
    <w:qFormat/>
    <w:uiPriority w:val="0"/>
    <w:pPr>
      <w:numPr>
        <w:ilvl w:val="7"/>
        <w:numId w:val="1"/>
      </w:numPr>
      <w:spacing w:line="360" w:lineRule="auto"/>
      <w:ind w:left="0" w:leftChars="0"/>
    </w:pPr>
    <w:rPr>
      <w:rFonts w:eastAsia="標楷體" w:cs="新細明體"/>
      <w:sz w:val="24"/>
      <w:szCs w:val="20"/>
    </w:rPr>
  </w:style>
  <w:style w:type="paragraph" w:customStyle="1" w:styleId="29">
    <w:name w:val="內文1"/>
    <w:basedOn w:val="1"/>
    <w:qFormat/>
    <w:uiPriority w:val="0"/>
    <w:pPr>
      <w:keepNext/>
      <w:widowControl w:val="0"/>
      <w:adjustRightInd w:val="0"/>
      <w:ind w:left="360"/>
      <w:textAlignment w:val="baseline"/>
    </w:pPr>
    <w:rPr>
      <w:rFonts w:eastAsia="華康標楷體"/>
      <w:sz w:val="28"/>
      <w:szCs w:val="20"/>
    </w:rPr>
  </w:style>
  <w:style w:type="character" w:customStyle="1" w:styleId="30">
    <w:name w:val="Balloon Text Char"/>
    <w:basedOn w:val="17"/>
    <w:link w:val="16"/>
    <w:semiHidden/>
    <w:uiPriority w:val="0"/>
    <w:rPr>
      <w:rFonts w:asciiTheme="majorHAnsi" w:hAnsiTheme="majorHAnsi" w:eastAsiaTheme="majorEastAsia" w:cstheme="majorBid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F:\01%20Tiffany\DATA-1(D)\01%20&#23433;&#34907;&#26989;&#21209;\17%20&#23433;&#20840;&#34907;&#29983;\17-10%20&#23433;&#34907;&#35215;&#31456;\CEC%20SHC-04\SOP%20Template(CH).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80C7124B4FE9A54E9668A944A2FAFB31" ma:contentTypeVersion="4" ma:contentTypeDescription="" ma:contentTypeScope="" ma:versionID="b4ebc9c7573e09d5af8403817e866e58">
  <xsd:schema xmlns:xsd="http://www.w3.org/2001/XMLSchema" xmlns:xs="http://www.w3.org/2001/XMLSchema" xmlns:p="http://schemas.microsoft.com/office/2006/metadata/properties" xmlns:ns1="BBD415AD-E67A-4BAA-94D3-721B04A02B98" targetNamespace="http://schemas.microsoft.com/office/2006/metadata/properties" ma:root="true" ma:fieldsID="0bd5a84058472b58badd0749bd06a39c" ns1:_="">
    <xsd:import namespace="BBD415AD-E67A-4BAA-94D3-721B04A02B98"/>
    <xsd:element name="properties">
      <xsd:complexType>
        <xsd:sequence>
          <xsd:element name="documentManagement">
            <xsd:complexType>
              <xsd:all>
                <xsd:element ref="ns1:EIP_IssueCompany" minOccurs="0"/>
                <xsd:element ref="ns1:EIP_SOPName_zh" minOccurs="0"/>
                <xsd:element ref="ns1:EIP_SOPName_en" minOccurs="0"/>
                <xsd:element ref="ns1:EIP_Version" minOccurs="0"/>
                <xsd:element ref="ns1:EIP_SOPClass_zh" minOccurs="0"/>
                <xsd:element ref="ns1:EIP_SOPClass_en" minOccurs="0"/>
                <xsd:element ref="ns1:EIP_ProcessCategory_zh" minOccurs="0"/>
                <xsd:element ref="ns1:EIP_ProcessCategory_en" minOccurs="0"/>
                <xsd:element ref="ns1:EIP_PO_zh" minOccurs="0"/>
                <xsd:element ref="ns1:EIP_PO_en" minOccurs="0"/>
                <xsd:element ref="ns1:EIP_PO" minOccurs="0"/>
                <xsd:element ref="ns1:EIP_ApprovedBy_zh" minOccurs="0"/>
                <xsd:element ref="ns1:EIP_ApprovedBy_en" minOccurs="0"/>
                <xsd:element ref="ns1:EIP_ApprovedBy" minOccurs="0"/>
                <xsd:element ref="ns1:EIP_DateApproved" minOccurs="0"/>
                <xsd:element ref="ns1:EIP_AmendmentHighlight" minOccurs="0"/>
                <xsd:element ref="ns1:EIP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BD415AD-E67A-4BAA-94D3-721B04A02B98" elementFormDefault="qualified">
    <xsd:import namespace="http://schemas.microsoft.com/office/2006/documentManagement/types"/>
    <xsd:import namespace="http://schemas.microsoft.com/office/infopath/2007/PartnerControls"/>
    <xsd:element name="EIP_IssueCompany" ma:index="0" nillable="true" ma:displayName="Issue Company" ma:internalName="EIP_IssueCompany">
      <xsd:simpleType>
        <xsd:restriction base="dms:Text">
          <xsd:maxLength value="255"/>
        </xsd:restriction>
      </xsd:simpleType>
    </xsd:element>
    <xsd:element name="EIP_SOPName_zh" ma:index="1" nillable="true" ma:displayName="文件名稱" ma:internalName="EIP_SOPName_zh">
      <xsd:simpleType>
        <xsd:restriction base="dms:Text"/>
      </xsd:simpleType>
    </xsd:element>
    <xsd:element name="EIP_SOPName_en" ma:index="2" nillable="true" ma:displayName="SOP Name" ma:internalName="EIP_SOPName_en">
      <xsd:simpleType>
        <xsd:restriction base="dms:Text"/>
      </xsd:simpleType>
    </xsd:element>
    <xsd:element name="EIP_Version" ma:index="3" nillable="true" ma:displayName="Version" ma:internalName="EIP_Version">
      <xsd:simpleType>
        <xsd:restriction base="dms:Text"/>
      </xsd:simpleType>
    </xsd:element>
    <xsd:element name="EIP_SOPClass_zh" ma:index="4" nillable="true" ma:displayName="文件分類" ma:default="A1" ma:format="Dropdown" ma:internalName="EIP_SOPClass_zh">
      <xsd:simpleType>
        <xsd:restriction base="dms:Choice">
          <xsd:enumeration value="A1"/>
          <xsd:enumeration value="A2"/>
          <xsd:enumeration value="A3"/>
          <xsd:enumeration value="B1"/>
          <xsd:enumeration value="B2"/>
          <xsd:enumeration value="B3"/>
          <xsd:enumeration value="FM"/>
          <xsd:enumeration value="C1"/>
          <xsd:enumeration value="CWI"/>
          <xsd:enumeration value="TMP"/>
          <xsd:enumeration value="ERP"/>
        </xsd:restriction>
      </xsd:simpleType>
    </xsd:element>
    <xsd:element name="EIP_SOPClass_en" ma:index="5" nillable="true" ma:displayName="Classification" ma:default="A1" ma:format="Dropdown" ma:internalName="EIP_SOPClass_en">
      <xsd:simpleType>
        <xsd:restriction base="dms:Choice">
          <xsd:enumeration value="A1"/>
          <xsd:enumeration value="A2"/>
          <xsd:enumeration value="A3"/>
          <xsd:enumeration value="B1"/>
          <xsd:enumeration value="B2"/>
          <xsd:enumeration value="B3"/>
          <xsd:enumeration value="FM"/>
          <xsd:enumeration value="C1"/>
          <xsd:enumeration value="CWI"/>
          <xsd:enumeration value="TMP"/>
          <xsd:enumeration value="ERP"/>
        </xsd:restriction>
      </xsd:simpleType>
    </xsd:element>
    <xsd:element name="EIP_ProcessCategory_zh" ma:index="6" nillable="true" ma:displayName="流程類別" ma:default="公司治理" ma:format="Dropdown" ma:internalName="EIP_ProcessCategory_zh">
      <xsd:simpleType>
        <xsd:restriction base="dms:Choice">
          <xsd:enumeration value="公司治理"/>
          <xsd:enumeration value="人事管理"/>
          <xsd:enumeration value="工程專案施工建造"/>
          <xsd:enumeration value="工程專案規劃與管制"/>
          <xsd:enumeration value="工程專案業務開發"/>
          <xsd:enumeration value="內控內稽"/>
          <xsd:enumeration value="目標規劃"/>
          <xsd:enumeration value="安全衛生"/>
          <xsd:enumeration value="行政支援"/>
          <xsd:enumeration value="技術研發"/>
          <xsd:enumeration value="投資企劃"/>
          <xsd:enumeration value="事業關係"/>
          <xsd:enumeration value="法務管理"/>
          <xsd:enumeration value="品質管理"/>
          <xsd:enumeration value="財務管理"/>
          <xsd:enumeration value="採購管理"/>
          <xsd:enumeration value="組織權責"/>
          <xsd:enumeration value="會計作業"/>
          <xsd:enumeration value="資訊管理"/>
          <xsd:enumeration value="緊急事件處理"/>
          <xsd:enumeration value="__工務所作業手冊"/>
        </xsd:restriction>
      </xsd:simpleType>
    </xsd:element>
    <xsd:element name="EIP_ProcessCategory_en" ma:index="7" nillable="true" ma:displayName="Process Category" ma:default="Corporate Governance" ma:format="Dropdown" ma:internalName="EIP_ProcessCategory_en">
      <xsd:simpleType>
        <xsd:restriction base="dms:Choice">
          <xsd:enumeration value="Corporate Governance"/>
          <xsd:enumeration value="HR management"/>
          <xsd:enumeration value="Project Implementation"/>
          <xsd:enumeration value="Planning and Management"/>
          <xsd:enumeration value="Business Development"/>
          <xsd:enumeration value="Internal Control and Audit"/>
          <xsd:enumeration value="Objectives and Targets"/>
          <xsd:enumeration value="Occupational Health and Safety (OHS)"/>
          <xsd:enumeration value="General Affairs"/>
          <xsd:enumeration value="Research and Development"/>
          <xsd:enumeration value="Investment Planning"/>
          <xsd:enumeration value="Public Relationship"/>
          <xsd:enumeration value="Legal Affairs"/>
          <xsd:enumeration value="Quality Management"/>
          <xsd:enumeration value="Finance Management"/>
          <xsd:enumeration value="Procurement Management"/>
          <xsd:enumeration value="Organization and Scope of Responsibility"/>
          <xsd:enumeration value="Accounting Operation"/>
          <xsd:enumeration value="IT Management"/>
          <xsd:enumeration value="Emergency Response"/>
          <xsd:enumeration value="__Project Operation Manual"/>
        </xsd:restriction>
      </xsd:simpleType>
    </xsd:element>
    <xsd:element name="EIP_PO_zh" ma:index="8" nillable="true" ma:displayName="制定單位" ma:internalName="EIP_PO_zh">
      <xsd:simpleType>
        <xsd:restriction base="dms:Text"/>
      </xsd:simpleType>
    </xsd:element>
    <xsd:element name="EIP_PO_en" ma:index="9" nillable="true" ma:displayName="Process Owner" ma:internalName="EIP_PO_en">
      <xsd:simpleType>
        <xsd:restriction base="dms:Text"/>
      </xsd:simpleType>
    </xsd:element>
    <xsd:element name="EIP_PO" ma:index="10" nillable="true" ma:displayName="制定單位" ma:internalName="EIP_PO">
      <xsd:simpleType>
        <xsd:restriction base="dms:Unknown"/>
      </xsd:simpleType>
    </xsd:element>
    <xsd:element name="EIP_ApprovedBy_zh" ma:index="11" nillable="true" ma:displayName="核准單位" ma:hidden="true" ma:internalName="EIP_ApprovedBy_zh">
      <xsd:simpleType>
        <xsd:restriction base="dms:Text"/>
      </xsd:simpleType>
    </xsd:element>
    <xsd:element name="EIP_ApprovedBy_en" ma:index="12" nillable="true" ma:displayName="Approved By" ma:hidden="true" ma:internalName="EIP_ApprovedBy_en">
      <xsd:simpleType>
        <xsd:restriction base="dms:Text"/>
      </xsd:simpleType>
    </xsd:element>
    <xsd:element name="EIP_ApprovedBy" ma:index="13" nillable="true" ma:displayName="Approved By" ma:hidden="true" ma:internalName="EIP_ApprovedBy">
      <xsd:simpleType>
        <xsd:restriction base="dms:Unknown"/>
      </xsd:simpleType>
    </xsd:element>
    <xsd:element name="EIP_DateApproved" ma:index="14" nillable="true" ma:displayName="Date Approved" ma:format="DateOnly" ma:internalName="EIP_DateApproved">
      <xsd:simpleType>
        <xsd:restriction base="dms:DateTime"/>
      </xsd:simpleType>
    </xsd:element>
    <xsd:element name="EIP_AmendmentHighlight" ma:index="15" nillable="true" ma:displayName="Amendment Highlight" ma:internalName="EIP_AmendmentHighlight">
      <xsd:simpleType>
        <xsd:restriction base="dms:Note"/>
      </xsd:simpleType>
    </xsd:element>
    <xsd:element name="EIP_Language" ma:index="16" nillable="true" ma:displayName="Language" ma:default="CH" ma:format="Dropdown" ma:internalName="EIP_Language">
      <xsd:simpleType>
        <xsd:restriction base="dms:Choice">
          <xsd:enumeration value="CH"/>
          <xsd:enumeration value="EN"/>
          <xsd:enumeration value="CH/EN"/>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EIP_ProcessCategory_en xmlns="BBD415AD-E67A-4BAA-94D3-721B04A02B98">Quality Management</EIP_ProcessCategory_en>
    <EIP_SOPClass_zh xmlns="BBD415AD-E67A-4BAA-94D3-721B04A02B98">B2</EIP_SOPClass_zh>
    <EIP_ProcessCategory_zh xmlns="BBD415AD-E67A-4BAA-94D3-721B04A02B98">品質管理</EIP_ProcessCategory_zh>
    <EIP_PO xmlns="BBD415AD-E67A-4BAA-94D3-721B04A02B98">6b6e3d05-f975-4c38-a71e-b74e77c2421a;848f60b2-45a3-472b-9b94-63d44984e1c9</EIP_PO>
    <EIP_SOPClass_en xmlns="BBD415AD-E67A-4BAA-94D3-721B04A02B98">B2</EIP_SOPClass_en>
    <EIP_ApprovedBy_en xmlns="BBD415AD-E67A-4BAA-94D3-721B04A02B98" xsi:nil="true"/>
    <EIP_Language xmlns="BBD415AD-E67A-4BAA-94D3-721B04A02B98">CH</EIP_Language>
    <EIP_ApprovedBy_zh xmlns="BBD415AD-E67A-4BAA-94D3-721B04A02B98" xsi:nil="true"/>
    <EIP_AmendmentHighlight xmlns="BBD415AD-E67A-4BAA-94D3-721B04A02B98" xsi:nil="true"/>
    <EIP_IssueCompany xmlns="BBD415AD-E67A-4BAA-94D3-721B04A02B98" xsi:nil="true"/>
    <EIP_DateApproved xmlns="BBD415AD-E67A-4BAA-94D3-721B04A02B98">2013-12-12T16:00:00+00:00</EIP_DateApproved>
    <EIP_SOPName_zh xmlns="BBD415AD-E67A-4BAA-94D3-721B04A02B98">規章格式範本(中文)</EIP_SOPName_zh>
    <EIP_ApprovedBy xmlns="BBD415AD-E67A-4BAA-94D3-721B04A02B98" xsi:nil="true"/>
    <EIP_SOPName_en xmlns="BBD415AD-E67A-4BAA-94D3-721B04A02B98">SOP Template </EIP_SOPName_en>
    <EIP_Version xmlns="BBD415AD-E67A-4BAA-94D3-721B04A02B98">7.0</EIP_Version>
    <EIP_PO_zh xmlns="BBD415AD-E67A-4BAA-94D3-721B04A02B98" xsi:nil="true"/>
    <EIP_PO_en xmlns="BBD415AD-E67A-4BAA-94D3-721B04A02B98"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8E5149-8947-45F8-88E7-934C52BC1774}">
  <ds:schemaRefs/>
</ds:datastoreItem>
</file>

<file path=customXml/itemProps3.xml><?xml version="1.0" encoding="utf-8"?>
<ds:datastoreItem xmlns:ds="http://schemas.openxmlformats.org/officeDocument/2006/customXml" ds:itemID="{6EB8992C-815D-46DA-94C3-4C4B9E6CB11F}">
  <ds:schemaRefs/>
</ds:datastoreItem>
</file>

<file path=docProps/app.xml><?xml version="1.0" encoding="utf-8"?>
<Properties xmlns="http://schemas.openxmlformats.org/officeDocument/2006/extended-properties" xmlns:vt="http://schemas.openxmlformats.org/officeDocument/2006/docPropsVTypes">
  <Template>F:\01 Tiffany\DATA-1(D)\01 安衛業務\17 安全衛生\17-10 安衛規章\CEC SHC-04\SOP Template(CH).dotx</Template>
  <Pages>25</Pages>
  <Words>6842</Words>
  <Characters>7117</Characters>
  <Lines>309</Lines>
  <Paragraphs>377</Paragraphs>
  <ScaleCrop>false</ScaleCrop>
  <LinksUpToDate>false</LinksUpToDate>
  <CharactersWithSpaces>13582</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2018-09-13T09:19:00Z</dcterms:created>
  <cp:lastPrinted>2010-08-13T03:09:00Z</cp:lastPrinted>
  <dcterms:modified xsi:type="dcterms:W3CDTF">2022-08-04T02:11:37Z</dcterms:modified>
  <dc:title>03.職業安全衛生手冊</dc:title>
  <cp:revision>67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0x01010080C7124B4FE9A54E9668A944A2FAFB31</vt:lpwstr>
  </property>
  <property fmtid="{D5CDD505-2E9C-101B-9397-08002B2CF9AE}" pid="3" name="KSOProductBuildVer">
    <vt:lpwstr>1028-10.8.0.6003</vt:lpwstr>
  </property>
</Properties>
</file>